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rFonts w:hint="eastAsia" w:eastAsia="宋体"/>
          <w:b/>
          <w:sz w:val="24"/>
          <w:szCs w:val="24"/>
          <w:lang w:eastAsia="zh-CN"/>
        </w:rPr>
      </w:pPr>
      <w:r>
        <w:rPr>
          <w:rFonts w:eastAsia="Batang"/>
          <w:b/>
          <w:sz w:val="24"/>
          <w:szCs w:val="24"/>
          <w:lang w:eastAsia="ja-JP"/>
        </w:rPr>
        <w:t>3GPP TSG RAN WG1 #10</w:t>
      </w:r>
      <w:r>
        <w:rPr>
          <w:b/>
          <w:sz w:val="24"/>
          <w:szCs w:val="24"/>
        </w:rPr>
        <w:t>6</w:t>
      </w:r>
      <w:r>
        <w:rPr>
          <w:rFonts w:hint="eastAsia"/>
          <w:b/>
          <w:sz w:val="24"/>
          <w:szCs w:val="24"/>
        </w:rPr>
        <w:t>b</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bookmarkEnd w:id="0"/>
      <w:r>
        <w:rPr>
          <w:rFonts w:hint="eastAsia" w:eastAsia="Batang"/>
          <w:b/>
          <w:sz w:val="24"/>
          <w:szCs w:val="24"/>
          <w:lang w:eastAsia="ja-JP"/>
        </w:rPr>
        <w:t>R1-210972</w:t>
      </w:r>
      <w:r>
        <w:rPr>
          <w:rFonts w:hint="eastAsia"/>
          <w:b/>
          <w:sz w:val="24"/>
          <w:szCs w:val="24"/>
          <w:lang w:val="en-US" w:eastAsia="zh-CN"/>
        </w:rPr>
        <w:t>4</w:t>
      </w:r>
    </w:p>
    <w:p>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Oct</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Oct</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p>
    <w:p>
      <w:pPr>
        <w:tabs>
          <w:tab w:val="center" w:pos="4536"/>
          <w:tab w:val="right" w:pos="9072"/>
        </w:tabs>
        <w:spacing w:before="120" w:after="120"/>
        <w:rPr>
          <w:b/>
          <w:sz w:val="22"/>
          <w:szCs w:val="22"/>
        </w:rPr>
      </w:pPr>
      <w:r>
        <w:rPr>
          <w:b/>
          <w:sz w:val="22"/>
          <w:szCs w:val="22"/>
        </w:rPr>
        <w:tab/>
      </w:r>
    </w:p>
    <w:p>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line="240" w:lineRule="auto"/>
        <w:ind w:left="1980" w:hanging="1980"/>
        <w:rPr>
          <w:b/>
          <w:sz w:val="22"/>
          <w:szCs w:val="22"/>
        </w:rPr>
      </w:pPr>
      <w:r>
        <w:rPr>
          <w:b/>
          <w:sz w:val="22"/>
          <w:szCs w:val="22"/>
        </w:rPr>
        <w:t>Title:</w:t>
      </w:r>
      <w:r>
        <w:rPr>
          <w:b/>
          <w:sz w:val="22"/>
          <w:szCs w:val="22"/>
        </w:rPr>
        <w:tab/>
      </w:r>
      <w:r>
        <w:rPr>
          <w:b/>
          <w:sz w:val="22"/>
          <w:szCs w:val="22"/>
        </w:rPr>
        <w:t>Discussion on UE feature for UE power saving enhancements</w:t>
      </w:r>
    </w:p>
    <w:p>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lang w:val="pt-BR"/>
        </w:rPr>
        <w:t>8.17.7</w:t>
      </w:r>
    </w:p>
    <w:p>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Introduction</w:t>
      </w:r>
    </w:p>
    <w:p>
      <w:pPr>
        <w:spacing w:before="120" w:after="120"/>
      </w:pPr>
      <w:r>
        <w:rPr>
          <w:rFonts w:hint="eastAsia"/>
        </w:rPr>
        <w:t>In 3GPP TSG RAN</w:t>
      </w:r>
      <w:r>
        <w:t>1</w:t>
      </w:r>
      <w:r>
        <w:rPr>
          <w:rFonts w:hint="eastAsia"/>
        </w:rPr>
        <w:t>#</w:t>
      </w:r>
      <w:r>
        <w:t>106</w:t>
      </w:r>
      <w:r>
        <w:rPr>
          <w:rFonts w:hint="eastAsia"/>
        </w:rPr>
        <w:t xml:space="preserve">-e meeting, the </w:t>
      </w:r>
      <w:r>
        <w:t xml:space="preserve">initial UE feature list for UE power saving enhancements was provided </w:t>
      </w:r>
      <w:r>
        <w:rPr>
          <w:rFonts w:hint="eastAsia"/>
        </w:rPr>
        <w:t>[1]</w:t>
      </w:r>
      <w:r>
        <w:t>, which can be found in Appendix</w:t>
      </w:r>
      <w:r>
        <w:rPr>
          <w:rFonts w:hint="eastAsia"/>
        </w:rPr>
        <w:t>.</w:t>
      </w:r>
      <w:r>
        <w:t xml:space="preserve"> </w:t>
      </w:r>
      <w:r>
        <w:rPr>
          <w:rFonts w:hint="eastAsia"/>
        </w:rPr>
        <w:t>In this contribution,</w:t>
      </w:r>
      <w:r>
        <w:t xml:space="preserve"> the UE features are further discussed.</w:t>
      </w:r>
      <w:r>
        <w:rPr>
          <w:rFonts w:hint="eastAsia"/>
        </w:rPr>
        <w:t xml:space="preserve"> </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Discussion</w:t>
      </w:r>
    </w:p>
    <w:p>
      <w:pPr>
        <w:pStyle w:val="3"/>
        <w:numPr>
          <w:ilvl w:val="0"/>
          <w:numId w:val="8"/>
        </w:numPr>
        <w:spacing w:before="120" w:after="120" w:line="260" w:lineRule="auto"/>
        <w:ind w:right="210"/>
        <w:rPr>
          <w:rFonts w:ascii="Times New Roman" w:hAnsi="Times New Roman" w:eastAsia="宋体"/>
          <w:b/>
          <w:bCs/>
          <w:sz w:val="22"/>
          <w:szCs w:val="22"/>
        </w:rPr>
      </w:pPr>
      <w:r>
        <w:rPr>
          <w:rFonts w:ascii="Times New Roman" w:hAnsi="Times New Roman" w:eastAsia="宋体"/>
          <w:b/>
          <w:bCs/>
          <w:sz w:val="22"/>
          <w:szCs w:val="22"/>
        </w:rPr>
        <w:t>29-1 paging enhancement</w:t>
      </w:r>
    </w:p>
    <w:p>
      <w:pPr>
        <w:spacing w:before="120" w:after="120"/>
      </w:pPr>
      <w:r>
        <w:t>For the UE capability of paging enhancement, it should be optional without UE capability signalling, instead of mandatory, which is similar with feature group19-6 of relaxed measurement in Rel-16.</w:t>
      </w:r>
    </w:p>
    <w:p>
      <w:pPr>
        <w:pStyle w:val="29"/>
        <w:spacing w:before="120" w:after="120"/>
        <w:jc w:val="both"/>
        <w:rPr>
          <w:rFonts w:eastAsia="宋体"/>
          <w:i w:val="0"/>
        </w:rPr>
      </w:pPr>
      <w:bookmarkStart w:id="1" w:name="_Toc83662108"/>
      <w:r>
        <w:rPr>
          <w:rFonts w:hint="eastAsia"/>
          <w:i w:val="0"/>
        </w:rPr>
        <w:t xml:space="preserve">The </w:t>
      </w:r>
      <w:r>
        <w:rPr>
          <w:i w:val="0"/>
        </w:rPr>
        <w:t xml:space="preserve">feature group 29-1 of paging enhancement should be </w:t>
      </w:r>
      <w:r>
        <w:rPr>
          <w:i w:val="0"/>
          <w:iCs w:val="0"/>
          <w:sz w:val="21"/>
          <w:szCs w:val="21"/>
          <w:lang w:val="en-US" w:eastAsia="zh-CN"/>
        </w:rPr>
        <w:t>optional without UE capability signalling</w:t>
      </w:r>
      <w:r>
        <w:rPr>
          <w:rFonts w:hint="eastAsia"/>
          <w:i w:val="0"/>
        </w:rPr>
        <w:t>.</w:t>
      </w:r>
      <w:bookmarkEnd w:id="1"/>
    </w:p>
    <w:p>
      <w:pPr>
        <w:pStyle w:val="3"/>
        <w:numPr>
          <w:ilvl w:val="0"/>
          <w:numId w:val="8"/>
        </w:numPr>
        <w:spacing w:before="120" w:after="120" w:line="260" w:lineRule="auto"/>
        <w:ind w:right="210"/>
        <w:rPr>
          <w:rFonts w:ascii="Times New Roman" w:hAnsi="Times New Roman" w:eastAsia="宋体"/>
          <w:b/>
          <w:bCs/>
          <w:sz w:val="22"/>
          <w:szCs w:val="22"/>
        </w:rPr>
      </w:pPr>
      <w:r>
        <w:rPr>
          <w:rFonts w:ascii="Times New Roman" w:hAnsi="Times New Roman" w:eastAsia="宋体"/>
          <w:b/>
          <w:bCs/>
          <w:sz w:val="22"/>
          <w:szCs w:val="22"/>
        </w:rPr>
        <w:t>29-2 TRS</w:t>
      </w:r>
    </w:p>
    <w:p>
      <w:pPr>
        <w:spacing w:before="120" w:after="120"/>
      </w:pPr>
      <w:r>
        <w:t>Similar to feature group 29-1, the feature group 29-2 is also optional without UE capability signalling.</w:t>
      </w:r>
    </w:p>
    <w:p>
      <w:pPr>
        <w:pStyle w:val="29"/>
        <w:spacing w:before="120" w:after="120"/>
        <w:jc w:val="both"/>
        <w:rPr>
          <w:rFonts w:eastAsia="宋体"/>
          <w:i w:val="0"/>
        </w:rPr>
      </w:pPr>
      <w:bookmarkStart w:id="2" w:name="_Toc83662109"/>
      <w:r>
        <w:rPr>
          <w:rFonts w:hint="eastAsia"/>
          <w:i w:val="0"/>
        </w:rPr>
        <w:t xml:space="preserve">The </w:t>
      </w:r>
      <w:r>
        <w:rPr>
          <w:i w:val="0"/>
        </w:rPr>
        <w:t xml:space="preserve">feature group 29-2 of TRS resources for idle/inactive UEs should be </w:t>
      </w:r>
      <w:r>
        <w:rPr>
          <w:i w:val="0"/>
          <w:iCs w:val="0"/>
          <w:sz w:val="21"/>
          <w:szCs w:val="21"/>
          <w:lang w:val="en-US" w:eastAsia="zh-CN"/>
        </w:rPr>
        <w:t>optional without UE capability signalling</w:t>
      </w:r>
      <w:r>
        <w:rPr>
          <w:rFonts w:hint="eastAsia"/>
          <w:i w:val="0"/>
        </w:rPr>
        <w:t>.</w:t>
      </w:r>
      <w:bookmarkEnd w:id="2"/>
    </w:p>
    <w:p>
      <w:pPr>
        <w:pStyle w:val="3"/>
        <w:numPr>
          <w:ilvl w:val="0"/>
          <w:numId w:val="8"/>
        </w:numPr>
        <w:spacing w:before="120" w:after="120" w:line="260" w:lineRule="auto"/>
        <w:ind w:right="210"/>
        <w:rPr>
          <w:rFonts w:ascii="Times New Roman" w:hAnsi="Times New Roman" w:eastAsia="宋体"/>
          <w:b/>
          <w:bCs/>
          <w:sz w:val="22"/>
          <w:szCs w:val="22"/>
        </w:rPr>
      </w:pPr>
      <w:r>
        <w:rPr>
          <w:rFonts w:ascii="Times New Roman" w:hAnsi="Times New Roman" w:eastAsia="宋体"/>
          <w:b/>
          <w:bCs/>
          <w:sz w:val="22"/>
          <w:szCs w:val="22"/>
        </w:rPr>
        <w:t>29-3 PDCCH monitoring adaptation</w:t>
      </w:r>
    </w:p>
    <w:p>
      <w:pPr>
        <w:spacing w:before="120" w:after="120"/>
      </w:pPr>
      <w:r>
        <w:t>In RAN1-#106e meeting, the common design of PDCCH skipping and SSSG switching was agreed. To enable the flexible implementation at both gNB and UE side, separate UE capability signaling for PDCCH skipping and SSSG switching should be supported. And it doesn’t require a dedicated signalling to indicate whether to support both PDCCH skipping and SSSG. Hence, the FFS point in feature group 29-3 can be removed.</w:t>
      </w:r>
    </w:p>
    <w:p>
      <w:pPr>
        <w:spacing w:before="120" w:after="120"/>
      </w:pPr>
      <w:r>
        <w:t>Furthermore,</w:t>
      </w:r>
      <w:r>
        <w:rPr>
          <w:rFonts w:hint="eastAsia"/>
        </w:rPr>
        <w:t xml:space="preserve"> if the working assumption of Beh-2B is confirmed,</w:t>
      </w:r>
      <w:r>
        <w:t xml:space="preserve"> supporting 3 SSSGs should also depend on UE capability.</w:t>
      </w:r>
    </w:p>
    <w:p>
      <w:pPr>
        <w:pStyle w:val="29"/>
        <w:spacing w:before="120" w:after="120"/>
        <w:jc w:val="both"/>
        <w:rPr>
          <w:szCs w:val="21"/>
        </w:rPr>
      </w:pPr>
      <w:bookmarkStart w:id="3" w:name="_Toc83662110"/>
      <w:r>
        <w:rPr>
          <w:rFonts w:hint="eastAsia"/>
          <w:i w:val="0"/>
          <w:iCs w:val="0"/>
          <w:sz w:val="21"/>
          <w:szCs w:val="21"/>
          <w:lang w:val="en-US" w:eastAsia="zh-CN"/>
        </w:rPr>
        <w:t xml:space="preserve">Add a capability </w:t>
      </w:r>
      <w:r>
        <w:rPr>
          <w:i w:val="0"/>
          <w:iCs w:val="0"/>
          <w:sz w:val="21"/>
          <w:szCs w:val="21"/>
          <w:lang w:val="en-US" w:eastAsia="zh-CN"/>
        </w:rPr>
        <w:t xml:space="preserve">signaling </w:t>
      </w:r>
      <w:r>
        <w:rPr>
          <w:rFonts w:hint="eastAsia"/>
          <w:i w:val="0"/>
          <w:iCs w:val="0"/>
          <w:sz w:val="21"/>
          <w:szCs w:val="21"/>
          <w:lang w:val="en-US" w:eastAsia="zh-CN"/>
        </w:rPr>
        <w:t xml:space="preserve">with regarding to whether </w:t>
      </w:r>
      <w:r>
        <w:rPr>
          <w:i w:val="0"/>
          <w:iCs w:val="0"/>
          <w:sz w:val="21"/>
          <w:szCs w:val="21"/>
          <w:lang w:val="en-US" w:eastAsia="zh-CN"/>
        </w:rPr>
        <w:t>3</w:t>
      </w:r>
      <w:r>
        <w:rPr>
          <w:rFonts w:hint="eastAsia"/>
          <w:i w:val="0"/>
          <w:iCs w:val="0"/>
          <w:sz w:val="21"/>
          <w:szCs w:val="21"/>
          <w:lang w:val="en-US" w:eastAsia="zh-CN"/>
        </w:rPr>
        <w:t xml:space="preserve"> SSSGs is supported</w:t>
      </w:r>
      <w:r>
        <w:rPr>
          <w:i w:val="0"/>
          <w:iCs w:val="0"/>
          <w:sz w:val="21"/>
          <w:szCs w:val="21"/>
          <w:lang w:val="en-US" w:eastAsia="zh-CN"/>
        </w:rPr>
        <w:t xml:space="preserve"> by UE</w:t>
      </w:r>
      <w:r>
        <w:rPr>
          <w:rFonts w:hint="eastAsia"/>
          <w:i w:val="0"/>
          <w:iCs w:val="0"/>
          <w:sz w:val="21"/>
          <w:szCs w:val="21"/>
          <w:lang w:val="en-US" w:eastAsia="zh-CN"/>
        </w:rPr>
        <w:t xml:space="preserve">, if </w:t>
      </w:r>
      <w:r>
        <w:rPr>
          <w:rFonts w:hint="eastAsia"/>
          <w:i w:val="0"/>
          <w:iCs w:val="0"/>
          <w:lang w:val="en-US" w:eastAsia="zh-CN"/>
        </w:rPr>
        <w:t>the working assumption of Beh-2B is confirmed</w:t>
      </w:r>
      <w:r>
        <w:rPr>
          <w:i w:val="0"/>
          <w:iCs w:val="0"/>
          <w:sz w:val="21"/>
          <w:szCs w:val="21"/>
          <w:lang w:val="en-US" w:eastAsia="zh-CN"/>
        </w:rPr>
        <w:t>.</w:t>
      </w:r>
      <w:bookmarkEnd w:id="3"/>
    </w:p>
    <w:p>
      <w:pPr>
        <w:spacing w:before="120" w:after="120"/>
        <w:rPr>
          <w:szCs w:val="21"/>
        </w:rPr>
      </w:pPr>
      <w:r>
        <w:rPr>
          <w:szCs w:val="21"/>
        </w:rPr>
        <w:t>To this end, we suggest to update feature group 29-3 as below</w:t>
      </w:r>
    </w:p>
    <w:p>
      <w:pPr>
        <w:pStyle w:val="35"/>
        <w:numPr>
          <w:ilvl w:val="0"/>
          <w:numId w:val="9"/>
        </w:numPr>
        <w:spacing w:before="120" w:after="120"/>
        <w:rPr>
          <w:sz w:val="21"/>
          <w:szCs w:val="21"/>
        </w:rPr>
      </w:pPr>
      <w:r>
        <w:rPr>
          <w:sz w:val="21"/>
          <w:szCs w:val="21"/>
        </w:rPr>
        <w:t>support of PDCCH skipping;</w:t>
      </w:r>
    </w:p>
    <w:p>
      <w:pPr>
        <w:pStyle w:val="35"/>
        <w:numPr>
          <w:ilvl w:val="0"/>
          <w:numId w:val="9"/>
        </w:numPr>
        <w:spacing w:before="120" w:after="120"/>
        <w:rPr>
          <w:sz w:val="21"/>
          <w:szCs w:val="21"/>
        </w:rPr>
      </w:pPr>
      <w:r>
        <w:rPr>
          <w:sz w:val="21"/>
          <w:szCs w:val="21"/>
        </w:rPr>
        <w:t>support of search space set group switching</w:t>
      </w:r>
    </w:p>
    <w:p>
      <w:pPr>
        <w:pStyle w:val="35"/>
        <w:numPr>
          <w:ilvl w:val="1"/>
          <w:numId w:val="9"/>
        </w:numPr>
        <w:spacing w:before="120" w:after="120"/>
        <w:rPr>
          <w:sz w:val="21"/>
          <w:szCs w:val="21"/>
        </w:rPr>
      </w:pPr>
      <w:r>
        <w:rPr>
          <w:sz w:val="21"/>
          <w:szCs w:val="21"/>
        </w:rPr>
        <w:t>support of 3 search space set groups</w:t>
      </w:r>
    </w:p>
    <w:p>
      <w:pPr>
        <w:pStyle w:val="29"/>
        <w:spacing w:before="120" w:after="120"/>
        <w:jc w:val="both"/>
        <w:rPr>
          <w:i w:val="0"/>
        </w:rPr>
      </w:pPr>
      <w:bookmarkStart w:id="4" w:name="_Toc83662111"/>
      <w:r>
        <w:rPr>
          <w:i w:val="0"/>
        </w:rPr>
        <w:t>Update the feature group 29-3 as below</w:t>
      </w:r>
      <w:bookmarkEnd w:id="4"/>
    </w:p>
    <w:p>
      <w:pPr>
        <w:pStyle w:val="29"/>
        <w:numPr>
          <w:ilvl w:val="0"/>
          <w:numId w:val="10"/>
        </w:numPr>
        <w:spacing w:before="120" w:after="120"/>
        <w:jc w:val="both"/>
        <w:rPr>
          <w:i w:val="0"/>
        </w:rPr>
      </w:pPr>
      <w:bookmarkStart w:id="5" w:name="_Toc83662112"/>
      <w:r>
        <w:rPr>
          <w:i w:val="0"/>
        </w:rPr>
        <w:t>support of PDCCH skipping;</w:t>
      </w:r>
      <w:bookmarkEnd w:id="5"/>
    </w:p>
    <w:p>
      <w:pPr>
        <w:pStyle w:val="29"/>
        <w:numPr>
          <w:ilvl w:val="0"/>
          <w:numId w:val="10"/>
        </w:numPr>
        <w:spacing w:before="120" w:after="120"/>
        <w:jc w:val="both"/>
        <w:rPr>
          <w:i w:val="0"/>
        </w:rPr>
      </w:pPr>
      <w:bookmarkStart w:id="6" w:name="_Toc83662113"/>
      <w:r>
        <w:rPr>
          <w:i w:val="0"/>
        </w:rPr>
        <w:t>support of search space set group switching</w:t>
      </w:r>
      <w:bookmarkEnd w:id="6"/>
      <w:r>
        <w:rPr>
          <w:i w:val="0"/>
        </w:rPr>
        <w:t>;</w:t>
      </w:r>
    </w:p>
    <w:p>
      <w:pPr>
        <w:pStyle w:val="29"/>
        <w:numPr>
          <w:ilvl w:val="1"/>
          <w:numId w:val="10"/>
        </w:numPr>
        <w:spacing w:before="120" w:after="120"/>
        <w:jc w:val="both"/>
        <w:rPr>
          <w:i w:val="0"/>
        </w:rPr>
      </w:pPr>
      <w:bookmarkStart w:id="7" w:name="_Toc83662114"/>
      <w:r>
        <w:rPr>
          <w:i w:val="0"/>
        </w:rPr>
        <w:t>support of 3 search space set groups</w:t>
      </w:r>
      <w:bookmarkEnd w:id="7"/>
    </w:p>
    <w:p>
      <w:pPr>
        <w:spacing w:before="120" w:after="120"/>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Conclusion</w:t>
      </w:r>
    </w:p>
    <w:p>
      <w:pPr>
        <w:spacing w:before="120" w:after="120"/>
        <w:rPr>
          <w:szCs w:val="22"/>
        </w:rPr>
      </w:pPr>
      <w:r>
        <w:rPr>
          <w:rFonts w:hint="eastAsia"/>
        </w:rPr>
        <w:t xml:space="preserve">In this contribution, we discuss the </w:t>
      </w:r>
      <w:r>
        <w:t xml:space="preserve">UE features for </w:t>
      </w:r>
      <w:r>
        <w:rPr>
          <w:rFonts w:hint="eastAsia"/>
        </w:rPr>
        <w:t>power saving enhancement</w:t>
      </w:r>
      <w:r>
        <w:t>s</w:t>
      </w:r>
      <w:r>
        <w:rPr>
          <w:rFonts w:hint="eastAsia"/>
        </w:rPr>
        <w:t>. We have the following proposals.</w:t>
      </w:r>
    </w:p>
    <w:p>
      <w:pPr>
        <w:pStyle w:val="11"/>
        <w:jc w:val="both"/>
        <w:rPr>
          <w:rFonts w:asciiTheme="minorHAnsi" w:hAnsiTheme="minorHAnsi" w:cstheme="minorBidi"/>
          <w:b w:val="0"/>
          <w:bCs w:val="0"/>
          <w:kern w:val="0"/>
          <w:sz w:val="22"/>
          <w:szCs w:val="22"/>
        </w:rPr>
      </w:pPr>
      <w:r>
        <w:rPr>
          <w:i/>
          <w:iCs/>
        </w:rPr>
        <w:fldChar w:fldCharType="begin"/>
      </w:r>
      <w:r>
        <w:instrText xml:space="preserve">TOC \n  \t "YJ-Proposal,1,sub-proposal,2,3rd level proposal,3" \h</w:instrText>
      </w:r>
      <w:r>
        <w:rPr>
          <w:i/>
          <w:iCs/>
        </w:rPr>
        <w:fldChar w:fldCharType="separate"/>
      </w:r>
      <w:r>
        <w:fldChar w:fldCharType="begin"/>
      </w:r>
      <w:r>
        <w:instrText xml:space="preserve"> HYPERLINK \l "_Toc83662108" </w:instrText>
      </w:r>
      <w:r>
        <w:fldChar w:fldCharType="separate"/>
      </w:r>
      <w:r>
        <w:rPr>
          <w:rStyle w:val="23"/>
          <w:rFonts w:eastAsia="宋体"/>
        </w:rPr>
        <w:t>Proposal 1:</w:t>
      </w:r>
      <w:r>
        <w:rPr>
          <w:rFonts w:asciiTheme="minorHAnsi" w:hAnsiTheme="minorHAnsi" w:cstheme="minorBidi"/>
          <w:b w:val="0"/>
          <w:bCs w:val="0"/>
          <w:kern w:val="0"/>
          <w:sz w:val="22"/>
          <w:szCs w:val="22"/>
        </w:rPr>
        <w:tab/>
      </w:r>
      <w:r>
        <w:rPr>
          <w:rStyle w:val="23"/>
        </w:rPr>
        <w:t>The feature group 29-1 of paging enhancement should be optional without UE capability signalling.</w:t>
      </w:r>
      <w:r>
        <w:rPr>
          <w:rStyle w:val="23"/>
        </w:rPr>
        <w:fldChar w:fldCharType="end"/>
      </w:r>
    </w:p>
    <w:p>
      <w:pPr>
        <w:pStyle w:val="11"/>
        <w:jc w:val="both"/>
        <w:rPr>
          <w:rFonts w:asciiTheme="minorHAnsi" w:hAnsiTheme="minorHAnsi" w:cstheme="minorBidi"/>
          <w:b w:val="0"/>
          <w:bCs w:val="0"/>
          <w:kern w:val="0"/>
          <w:sz w:val="22"/>
          <w:szCs w:val="22"/>
        </w:rPr>
      </w:pPr>
      <w:r>
        <w:fldChar w:fldCharType="begin"/>
      </w:r>
      <w:r>
        <w:instrText xml:space="preserve"> HYPERLINK \l "_Toc83662109" </w:instrText>
      </w:r>
      <w:r>
        <w:fldChar w:fldCharType="separate"/>
      </w:r>
      <w:r>
        <w:rPr>
          <w:rStyle w:val="23"/>
          <w:rFonts w:eastAsia="宋体"/>
        </w:rPr>
        <w:t>Proposal 2:</w:t>
      </w:r>
      <w:r>
        <w:rPr>
          <w:rFonts w:asciiTheme="minorHAnsi" w:hAnsiTheme="minorHAnsi" w:cstheme="minorBidi"/>
          <w:b w:val="0"/>
          <w:bCs w:val="0"/>
          <w:kern w:val="0"/>
          <w:sz w:val="22"/>
          <w:szCs w:val="22"/>
        </w:rPr>
        <w:tab/>
      </w:r>
      <w:r>
        <w:rPr>
          <w:rStyle w:val="23"/>
        </w:rPr>
        <w:t>The feature group 29-2 of TRS resources for idle/inactive UEs should be optional without UE capability signalling.</w:t>
      </w:r>
      <w:r>
        <w:rPr>
          <w:rStyle w:val="23"/>
        </w:rPr>
        <w:fldChar w:fldCharType="end"/>
      </w:r>
    </w:p>
    <w:p>
      <w:pPr>
        <w:pStyle w:val="11"/>
        <w:jc w:val="both"/>
        <w:rPr>
          <w:rFonts w:asciiTheme="minorHAnsi" w:hAnsiTheme="minorHAnsi" w:cstheme="minorBidi"/>
          <w:b w:val="0"/>
          <w:bCs w:val="0"/>
          <w:kern w:val="0"/>
          <w:sz w:val="22"/>
          <w:szCs w:val="22"/>
        </w:rPr>
      </w:pPr>
      <w:r>
        <w:fldChar w:fldCharType="begin"/>
      </w:r>
      <w:r>
        <w:instrText xml:space="preserve"> HYPERLINK \l "_Toc83662110" </w:instrText>
      </w:r>
      <w:r>
        <w:fldChar w:fldCharType="separate"/>
      </w:r>
      <w:r>
        <w:rPr>
          <w:rStyle w:val="23"/>
          <w:rFonts w:eastAsia="宋体"/>
        </w:rPr>
        <w:t>Proposal 3:</w:t>
      </w:r>
      <w:r>
        <w:rPr>
          <w:rFonts w:asciiTheme="minorHAnsi" w:hAnsiTheme="minorHAnsi" w:cstheme="minorBidi"/>
          <w:b w:val="0"/>
          <w:bCs w:val="0"/>
          <w:kern w:val="0"/>
          <w:sz w:val="22"/>
          <w:szCs w:val="22"/>
        </w:rPr>
        <w:tab/>
      </w:r>
      <w:r>
        <w:rPr>
          <w:rStyle w:val="23"/>
        </w:rPr>
        <w:t>Add a capability signaling with regarding to whether 3 SSSGs is supported by UE, if the working assumption of Beh-2B is confirmed.</w:t>
      </w:r>
      <w:r>
        <w:rPr>
          <w:rStyle w:val="23"/>
        </w:rPr>
        <w:fldChar w:fldCharType="end"/>
      </w:r>
    </w:p>
    <w:p>
      <w:pPr>
        <w:pStyle w:val="11"/>
        <w:jc w:val="both"/>
        <w:rPr>
          <w:rFonts w:asciiTheme="minorHAnsi" w:hAnsiTheme="minorHAnsi" w:cstheme="minorBidi"/>
          <w:b w:val="0"/>
          <w:bCs w:val="0"/>
          <w:kern w:val="0"/>
          <w:sz w:val="22"/>
          <w:szCs w:val="22"/>
        </w:rPr>
      </w:pPr>
      <w:r>
        <w:fldChar w:fldCharType="begin"/>
      </w:r>
      <w:r>
        <w:instrText xml:space="preserve"> HYPERLINK \l "_Toc83662111" </w:instrText>
      </w:r>
      <w:r>
        <w:fldChar w:fldCharType="separate"/>
      </w:r>
      <w:r>
        <w:rPr>
          <w:rStyle w:val="23"/>
          <w:rFonts w:eastAsia="宋体"/>
        </w:rPr>
        <w:t>Proposal 4:</w:t>
      </w:r>
      <w:r>
        <w:rPr>
          <w:rFonts w:asciiTheme="minorHAnsi" w:hAnsiTheme="minorHAnsi" w:cstheme="minorBidi"/>
          <w:b w:val="0"/>
          <w:bCs w:val="0"/>
          <w:kern w:val="0"/>
          <w:sz w:val="22"/>
          <w:szCs w:val="22"/>
        </w:rPr>
        <w:tab/>
      </w:r>
      <w:r>
        <w:rPr>
          <w:rStyle w:val="23"/>
        </w:rPr>
        <w:t>Update the feature group 29-3 as below</w:t>
      </w:r>
      <w:r>
        <w:rPr>
          <w:rStyle w:val="23"/>
        </w:rPr>
        <w:fldChar w:fldCharType="end"/>
      </w:r>
    </w:p>
    <w:p>
      <w:pPr>
        <w:pStyle w:val="11"/>
        <w:jc w:val="both"/>
        <w:rPr>
          <w:rFonts w:asciiTheme="minorHAnsi" w:hAnsiTheme="minorHAnsi" w:cstheme="minorBidi"/>
          <w:b w:val="0"/>
          <w:bCs w:val="0"/>
          <w:kern w:val="0"/>
          <w:sz w:val="22"/>
          <w:szCs w:val="22"/>
        </w:rPr>
      </w:pPr>
      <w:r>
        <w:rPr>
          <w:rStyle w:val="23"/>
        </w:rPr>
        <w:tab/>
      </w:r>
      <w:r>
        <w:fldChar w:fldCharType="begin"/>
      </w:r>
      <w:r>
        <w:instrText xml:space="preserve"> HYPERLINK \l "_Toc83662112" </w:instrText>
      </w:r>
      <w:r>
        <w:fldChar w:fldCharType="separate"/>
      </w:r>
      <w:r>
        <w:rPr>
          <w:rStyle w:val="23"/>
        </w:rPr>
        <w:t>(1) support of PDCCH skipping;</w:t>
      </w:r>
      <w:r>
        <w:rPr>
          <w:rStyle w:val="23"/>
        </w:rPr>
        <w:fldChar w:fldCharType="end"/>
      </w:r>
    </w:p>
    <w:p>
      <w:pPr>
        <w:pStyle w:val="11"/>
        <w:jc w:val="both"/>
        <w:rPr>
          <w:rFonts w:asciiTheme="minorHAnsi" w:hAnsiTheme="minorHAnsi" w:cstheme="minorBidi"/>
          <w:b w:val="0"/>
          <w:bCs w:val="0"/>
          <w:kern w:val="0"/>
          <w:sz w:val="22"/>
          <w:szCs w:val="22"/>
        </w:rPr>
      </w:pPr>
      <w:r>
        <w:rPr>
          <w:rStyle w:val="23"/>
        </w:rPr>
        <w:tab/>
      </w:r>
      <w:r>
        <w:fldChar w:fldCharType="begin"/>
      </w:r>
      <w:r>
        <w:instrText xml:space="preserve"> HYPERLINK \l "_Toc83662113" </w:instrText>
      </w:r>
      <w:r>
        <w:fldChar w:fldCharType="separate"/>
      </w:r>
      <w:r>
        <w:rPr>
          <w:rStyle w:val="23"/>
          <w:color w:val="auto"/>
        </w:rPr>
        <w:t>(2) support of search space set group switching</w:t>
      </w:r>
      <w:r>
        <w:rPr>
          <w:rStyle w:val="23"/>
          <w:color w:val="auto"/>
        </w:rPr>
        <w:fldChar w:fldCharType="end"/>
      </w:r>
      <w:r>
        <w:rPr>
          <w:rStyle w:val="23"/>
          <w:color w:val="auto"/>
        </w:rPr>
        <w:t>;</w:t>
      </w:r>
      <w:bookmarkStart w:id="9" w:name="_GoBack"/>
      <w:bookmarkEnd w:id="9"/>
    </w:p>
    <w:p>
      <w:pPr>
        <w:pStyle w:val="11"/>
        <w:jc w:val="both"/>
        <w:rPr>
          <w:rFonts w:asciiTheme="minorHAnsi" w:hAnsiTheme="minorHAnsi" w:cstheme="minorBidi"/>
          <w:b w:val="0"/>
          <w:bCs w:val="0"/>
          <w:kern w:val="0"/>
          <w:sz w:val="22"/>
          <w:szCs w:val="22"/>
        </w:rPr>
      </w:pPr>
      <w:r>
        <w:rPr>
          <w:rStyle w:val="23"/>
        </w:rPr>
        <w:tab/>
      </w:r>
      <w:r>
        <w:rPr>
          <w:rStyle w:val="23"/>
        </w:rPr>
        <w:t xml:space="preserve">     </w:t>
      </w:r>
      <w:r>
        <w:fldChar w:fldCharType="begin"/>
      </w:r>
      <w:r>
        <w:instrText xml:space="preserve"> HYPERLINK \l "_Toc83662114" </w:instrText>
      </w:r>
      <w:r>
        <w:fldChar w:fldCharType="separate"/>
      </w:r>
      <w:r>
        <w:rPr>
          <w:rStyle w:val="23"/>
        </w:rPr>
        <w:t>a. support of 3 search space set groups</w:t>
      </w:r>
      <w:r>
        <w:rPr>
          <w:rStyle w:val="23"/>
        </w:rPr>
        <w:fldChar w:fldCharType="end"/>
      </w:r>
    </w:p>
    <w:p>
      <w:pPr>
        <w:spacing w:before="120" w:after="120"/>
        <w:jc w:val="both"/>
      </w:pPr>
      <w:r>
        <w:fldChar w:fldCharType="end"/>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References</w:t>
      </w:r>
    </w:p>
    <w:p>
      <w:pPr>
        <w:pStyle w:val="34"/>
        <w:spacing w:before="120" w:after="120"/>
        <w:rPr>
          <w:szCs w:val="20"/>
        </w:rPr>
      </w:pPr>
      <w:bookmarkStart w:id="8" w:name="_Ref17466"/>
      <w:r>
        <w:rPr>
          <w:szCs w:val="20"/>
        </w:rPr>
        <w:fldChar w:fldCharType="begin"/>
      </w:r>
      <w:r>
        <w:rPr>
          <w:szCs w:val="20"/>
        </w:rPr>
        <w:instrText xml:space="preserve"> HYPERLINK "https://www.3gpp.org/ftp/TSG_RAN/WG1_RL1/TSGR1_106-e/Inbox/drafts/8.7/Initial_UE_feature_table/Rel17_NR_RAN1_UE%20feature%20list%20format_PS_v00_XXXX_YYYY.docx" </w:instrText>
      </w:r>
      <w:r>
        <w:rPr>
          <w:szCs w:val="20"/>
        </w:rPr>
        <w:fldChar w:fldCharType="separate"/>
      </w:r>
      <w:r>
        <w:rPr>
          <w:rStyle w:val="23"/>
          <w:color w:val="auto"/>
          <w:szCs w:val="20"/>
        </w:rPr>
        <w:t>https://www.3gpp.org/ftp/TSG_RAN/WG1_RL1/TSGR1_106-e/Inbox/drafts/8.7/Initial_UE_feature_table/Rel17_NR_RAN1_UE%20feature%20list%20format_PS_v00_XXXX_YYYY.docx</w:t>
      </w:r>
      <w:r>
        <w:rPr>
          <w:szCs w:val="20"/>
        </w:rPr>
        <w:fldChar w:fldCharType="end"/>
      </w:r>
      <w:bookmarkEnd w:id="8"/>
    </w:p>
    <w:p>
      <w:pPr>
        <w:spacing w:before="120" w:after="120" w:line="260" w:lineRule="auto"/>
        <w:jc w:val="center"/>
        <w:rPr>
          <w:sz w:val="20"/>
        </w:rPr>
      </w:pPr>
      <w:r>
        <w:t xml:space="preserve"> </w:t>
      </w:r>
    </w:p>
    <w:p>
      <w:pPr>
        <w:spacing w:before="0" w:beforeLines="0" w:after="160" w:afterLines="0"/>
        <w:jc w:val="left"/>
      </w:pPr>
      <w:r>
        <w:br w:type="page"/>
      </w:r>
    </w:p>
    <w:p>
      <w:pPr>
        <w:spacing w:beforeLines="0" w:afterLines="0"/>
        <w:jc w:val="left"/>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Appendix</w:t>
      </w:r>
    </w:p>
    <w:tbl>
      <w:tblPr>
        <w:tblStyle w:val="17"/>
        <w:tblW w:w="22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5979"/>
        <w:gridCol w:w="1418"/>
        <w:gridCol w:w="992"/>
        <w:gridCol w:w="968"/>
        <w:gridCol w:w="1417"/>
        <w:gridCol w:w="1276"/>
        <w:gridCol w:w="992"/>
        <w:gridCol w:w="993"/>
        <w:gridCol w:w="989"/>
        <w:gridCol w:w="269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30" w:type="dxa"/>
            <w:tcBorders>
              <w:top w:val="single" w:color="auto" w:sz="4" w:space="0"/>
              <w:left w:val="single" w:color="auto" w:sz="4" w:space="0"/>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Features</w:t>
            </w:r>
          </w:p>
        </w:tc>
        <w:tc>
          <w:tcPr>
            <w:tcW w:w="710"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Index</w:t>
            </w:r>
          </w:p>
        </w:tc>
        <w:tc>
          <w:tcPr>
            <w:tcW w:w="1559"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Feature group</w:t>
            </w:r>
          </w:p>
        </w:tc>
        <w:tc>
          <w:tcPr>
            <w:tcW w:w="5979"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Components</w:t>
            </w:r>
          </w:p>
        </w:tc>
        <w:tc>
          <w:tcPr>
            <w:tcW w:w="1418"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Prerequisite feature groups</w:t>
            </w:r>
          </w:p>
        </w:tc>
        <w:tc>
          <w:tcPr>
            <w:tcW w:w="992"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Need for the gNB to know if the feature is supported</w:t>
            </w:r>
          </w:p>
        </w:tc>
        <w:tc>
          <w:tcPr>
            <w:tcW w:w="968"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eastAsia="Gulim"/>
              </w:rPr>
              <w:t xml:space="preserve">Applicable to </w:t>
            </w:r>
            <w:r>
              <w:rPr>
                <w:rFonts w:ascii="Times New Roman" w:hAnsi="Times New Roman"/>
              </w:rPr>
              <w:t>the capability signalling exchange between UEs (Sidelink WI only)”.</w:t>
            </w:r>
          </w:p>
        </w:tc>
        <w:tc>
          <w:tcPr>
            <w:tcW w:w="1417" w:type="dxa"/>
            <w:tcBorders>
              <w:top w:val="single" w:color="auto" w:sz="4" w:space="0"/>
              <w:left w:val="nil"/>
              <w:bottom w:val="single" w:color="auto" w:sz="4" w:space="0"/>
              <w:right w:val="single" w:color="auto" w:sz="4" w:space="0"/>
            </w:tcBorders>
          </w:tcPr>
          <w:p>
            <w:pPr>
              <w:pStyle w:val="64"/>
              <w:spacing w:before="120" w:after="120"/>
              <w:ind w:left="0" w:firstLine="0"/>
              <w:rPr>
                <w:rFonts w:ascii="Times New Roman" w:hAnsi="Times New Roman"/>
                <w:b/>
                <w:bCs/>
              </w:rPr>
            </w:pPr>
            <w:r>
              <w:rPr>
                <w:rFonts w:ascii="Times New Roman" w:hAnsi="Times New Roman"/>
                <w:b/>
                <w:bCs/>
              </w:rPr>
              <w:t>Consequence if the feature is not supported by the UE</w:t>
            </w:r>
          </w:p>
        </w:tc>
        <w:tc>
          <w:tcPr>
            <w:tcW w:w="1276" w:type="dxa"/>
            <w:tcBorders>
              <w:top w:val="single" w:color="auto" w:sz="4" w:space="0"/>
              <w:left w:val="nil"/>
              <w:bottom w:val="single" w:color="auto" w:sz="4" w:space="0"/>
              <w:right w:val="single" w:color="auto" w:sz="4" w:space="0"/>
            </w:tcBorders>
          </w:tcPr>
          <w:p>
            <w:pPr>
              <w:pStyle w:val="64"/>
              <w:spacing w:before="120" w:after="120"/>
              <w:ind w:left="0" w:firstLine="0"/>
              <w:rPr>
                <w:rFonts w:ascii="Times New Roman" w:hAnsi="Times New Roman"/>
                <w:b/>
                <w:bCs/>
              </w:rPr>
            </w:pPr>
            <w:r>
              <w:rPr>
                <w:rFonts w:ascii="Times New Roman" w:hAnsi="Times New Roman"/>
                <w:b/>
                <w:bCs/>
              </w:rPr>
              <w:t>Type</w:t>
            </w:r>
          </w:p>
          <w:p>
            <w:pPr>
              <w:pStyle w:val="64"/>
              <w:spacing w:before="120" w:after="120"/>
              <w:ind w:left="0" w:firstLine="0"/>
              <w:rPr>
                <w:rFonts w:ascii="Times New Roman" w:hAnsi="Times New Roman"/>
                <w:b/>
                <w:bCs/>
              </w:rPr>
            </w:pPr>
            <w:r>
              <w:rPr>
                <w:rFonts w:ascii="Times New Roman" w:hAnsi="Times New Roman"/>
                <w:b/>
                <w:bCs/>
              </w:rPr>
              <w:t>(the ‘type’ definition from UE features should be based on the granularity of 1) Per UE or 2) Per Band or 3) Per BC or 4) Per FS or 5) Per FSPC)</w:t>
            </w:r>
          </w:p>
        </w:tc>
        <w:tc>
          <w:tcPr>
            <w:tcW w:w="992"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Need of FDD/TDD differentiation</w:t>
            </w:r>
          </w:p>
        </w:tc>
        <w:tc>
          <w:tcPr>
            <w:tcW w:w="993"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Need of FR1/FR2 differentiation</w:t>
            </w:r>
          </w:p>
        </w:tc>
        <w:tc>
          <w:tcPr>
            <w:tcW w:w="989"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Capability interpretation for mixture of FDD/TDD and/or FR1/FR2</w:t>
            </w:r>
          </w:p>
        </w:tc>
        <w:tc>
          <w:tcPr>
            <w:tcW w:w="2696"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Note</w:t>
            </w:r>
          </w:p>
        </w:tc>
        <w:tc>
          <w:tcPr>
            <w:tcW w:w="1276"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30" w:type="dxa"/>
            <w:tcBorders>
              <w:top w:val="single" w:color="auto" w:sz="4" w:space="0"/>
              <w:left w:val="single" w:color="auto" w:sz="4" w:space="0"/>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 xml:space="preserve"> 29. NR_UE_pow_sav_enh</w:t>
            </w:r>
          </w:p>
        </w:tc>
        <w:tc>
          <w:tcPr>
            <w:tcW w:w="710"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29-1</w:t>
            </w:r>
          </w:p>
        </w:tc>
        <w:tc>
          <w:tcPr>
            <w:tcW w:w="1559"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Paging enhancement</w:t>
            </w:r>
            <w:r>
              <w:rPr>
                <w:rFonts w:ascii="Times New Roman" w:hAnsi="Times New Roman"/>
              </w:rPr>
              <w:tab/>
            </w:r>
          </w:p>
          <w:p>
            <w:pPr>
              <w:pStyle w:val="57"/>
              <w:spacing w:before="120" w:after="120"/>
              <w:jc w:val="left"/>
              <w:rPr>
                <w:rFonts w:ascii="Times New Roman" w:hAnsi="Times New Roman"/>
              </w:rPr>
            </w:pPr>
            <w:r>
              <w:rPr>
                <w:rFonts w:ascii="Times New Roman" w:hAnsi="Times New Roman"/>
              </w:rPr>
              <w:tab/>
            </w:r>
          </w:p>
        </w:tc>
        <w:tc>
          <w:tcPr>
            <w:tcW w:w="5979" w:type="dxa"/>
            <w:tcBorders>
              <w:top w:val="single" w:color="auto" w:sz="4" w:space="0"/>
              <w:left w:val="nil"/>
              <w:bottom w:val="single" w:color="auto" w:sz="4" w:space="0"/>
              <w:right w:val="single" w:color="auto" w:sz="4" w:space="0"/>
            </w:tcBorders>
          </w:tcPr>
          <w:p>
            <w:pPr>
              <w:autoSpaceDE w:val="0"/>
              <w:autoSpaceDN w:val="0"/>
              <w:adjustRightInd w:val="0"/>
              <w:snapToGrid w:val="0"/>
              <w:spacing w:before="120" w:after="120"/>
              <w:contextualSpacing/>
              <w:jc w:val="left"/>
              <w:rPr>
                <w:sz w:val="18"/>
              </w:rPr>
            </w:pPr>
            <w:r>
              <w:rPr>
                <w:sz w:val="18"/>
              </w:rPr>
              <w:t>Paging subgroup indication for idle/inactive UE</w:t>
            </w:r>
          </w:p>
          <w:p>
            <w:pPr>
              <w:autoSpaceDE w:val="0"/>
              <w:autoSpaceDN w:val="0"/>
              <w:adjustRightInd w:val="0"/>
              <w:snapToGrid w:val="0"/>
              <w:spacing w:before="120" w:after="120"/>
              <w:contextualSpacing/>
              <w:jc w:val="left"/>
              <w:rPr>
                <w:sz w:val="18"/>
              </w:rPr>
            </w:pPr>
            <w:r>
              <w:rPr>
                <w:sz w:val="18"/>
              </w:rPr>
              <w:t>1. Support UE subgroup indication</w:t>
            </w:r>
          </w:p>
          <w:p>
            <w:pPr>
              <w:autoSpaceDE w:val="0"/>
              <w:autoSpaceDN w:val="0"/>
              <w:adjustRightInd w:val="0"/>
              <w:snapToGrid w:val="0"/>
              <w:spacing w:before="120" w:after="120"/>
              <w:contextualSpacing/>
              <w:jc w:val="left"/>
              <w:rPr>
                <w:sz w:val="18"/>
              </w:rPr>
            </w:pPr>
            <w:r>
              <w:rPr>
                <w:sz w:val="18"/>
              </w:rPr>
              <w:t xml:space="preserve">2. Corresponding UE behaviour </w:t>
            </w:r>
          </w:p>
        </w:tc>
        <w:tc>
          <w:tcPr>
            <w:tcW w:w="1418"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992"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968"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1417"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High idle/inactive mode UE power consumption if NR SA networks</w:t>
            </w:r>
          </w:p>
        </w:tc>
        <w:tc>
          <w:tcPr>
            <w:tcW w:w="127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Per UE</w:t>
            </w:r>
          </w:p>
        </w:tc>
        <w:tc>
          <w:tcPr>
            <w:tcW w:w="992"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993"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989"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269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127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[Mandatory] (idle-mode)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30" w:type="dxa"/>
            <w:tcBorders>
              <w:top w:val="single" w:color="auto" w:sz="4" w:space="0"/>
              <w:left w:val="single" w:color="auto" w:sz="4" w:space="0"/>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 xml:space="preserve"> 29. NR_UE_pow_sav_enh</w:t>
            </w:r>
          </w:p>
        </w:tc>
        <w:tc>
          <w:tcPr>
            <w:tcW w:w="710"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29-2</w:t>
            </w:r>
          </w:p>
        </w:tc>
        <w:tc>
          <w:tcPr>
            <w:tcW w:w="1559"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TRS resources for idle/inactive UEs</w:t>
            </w:r>
          </w:p>
        </w:tc>
        <w:tc>
          <w:tcPr>
            <w:tcW w:w="5979" w:type="dxa"/>
            <w:tcBorders>
              <w:top w:val="single" w:color="auto" w:sz="4" w:space="0"/>
              <w:left w:val="nil"/>
              <w:bottom w:val="single" w:color="auto" w:sz="4" w:space="0"/>
              <w:right w:val="single" w:color="auto" w:sz="4" w:space="0"/>
            </w:tcBorders>
          </w:tcPr>
          <w:p>
            <w:pPr>
              <w:autoSpaceDE w:val="0"/>
              <w:autoSpaceDN w:val="0"/>
              <w:adjustRightInd w:val="0"/>
              <w:snapToGrid w:val="0"/>
              <w:spacing w:before="120" w:after="120"/>
              <w:contextualSpacing/>
              <w:jc w:val="left"/>
              <w:rPr>
                <w:sz w:val="18"/>
              </w:rPr>
            </w:pPr>
            <w:r>
              <w:rPr>
                <w:sz w:val="18"/>
              </w:rPr>
              <w:t xml:space="preserve">TRS occassions for idle/inactive UEs </w:t>
            </w:r>
          </w:p>
          <w:p>
            <w:pPr>
              <w:pStyle w:val="62"/>
              <w:autoSpaceDE w:val="0"/>
              <w:autoSpaceDN w:val="0"/>
              <w:adjustRightInd w:val="0"/>
              <w:snapToGrid w:val="0"/>
              <w:spacing w:before="120" w:after="120" w:afterLines="50" w:afterAutospacing="0"/>
              <w:ind w:left="0" w:leftChars="0"/>
              <w:contextualSpacing/>
              <w:rPr>
                <w:rFonts w:eastAsia="宋体"/>
                <w:kern w:val="2"/>
                <w:sz w:val="18"/>
                <w:szCs w:val="20"/>
              </w:rPr>
            </w:pPr>
            <w:r>
              <w:rPr>
                <w:rFonts w:eastAsia="宋体"/>
                <w:kern w:val="2"/>
                <w:sz w:val="18"/>
                <w:szCs w:val="20"/>
              </w:rPr>
              <w:t>1. Support reading TRS configuration from SIB</w:t>
            </w:r>
          </w:p>
          <w:p>
            <w:pPr>
              <w:pStyle w:val="62"/>
              <w:autoSpaceDE w:val="0"/>
              <w:autoSpaceDN w:val="0"/>
              <w:adjustRightInd w:val="0"/>
              <w:snapToGrid w:val="0"/>
              <w:spacing w:before="120" w:after="120" w:afterLines="50" w:afterAutospacing="0"/>
              <w:ind w:left="0" w:leftChars="0"/>
              <w:contextualSpacing/>
              <w:rPr>
                <w:rFonts w:eastAsia="宋体"/>
                <w:kern w:val="2"/>
                <w:sz w:val="18"/>
                <w:szCs w:val="20"/>
              </w:rPr>
            </w:pPr>
            <w:r>
              <w:rPr>
                <w:rFonts w:eastAsia="宋体"/>
                <w:kern w:val="2"/>
                <w:sz w:val="18"/>
                <w:szCs w:val="20"/>
              </w:rPr>
              <w:t>2. Support receving L1 indication for TRS availability</w:t>
            </w:r>
          </w:p>
        </w:tc>
        <w:tc>
          <w:tcPr>
            <w:tcW w:w="1418"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992"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968"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1417"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Lose of power saving gain on AGC, time/frequency tracking in idle/inactive mode</w:t>
            </w:r>
          </w:p>
        </w:tc>
        <w:tc>
          <w:tcPr>
            <w:tcW w:w="127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Per UE</w:t>
            </w:r>
          </w:p>
        </w:tc>
        <w:tc>
          <w:tcPr>
            <w:tcW w:w="992"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993"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989"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269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127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[Mandatory] (idle-mode)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30" w:type="dxa"/>
            <w:tcBorders>
              <w:top w:val="single" w:color="auto" w:sz="4" w:space="0"/>
              <w:left w:val="single" w:color="auto" w:sz="4" w:space="0"/>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 xml:space="preserve"> 29. NR_UE_pow_sav_enh</w:t>
            </w:r>
          </w:p>
        </w:tc>
        <w:tc>
          <w:tcPr>
            <w:tcW w:w="710"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29-3</w:t>
            </w:r>
          </w:p>
        </w:tc>
        <w:tc>
          <w:tcPr>
            <w:tcW w:w="1559"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PDCCH monitoring adaptation within an active BWP</w:t>
            </w:r>
          </w:p>
        </w:tc>
        <w:tc>
          <w:tcPr>
            <w:tcW w:w="5979"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Editor’s Note: Example, no RAN1 decision. (1) or (2) may be separately indicated based on further RAN1 discussion/decision</w:t>
            </w:r>
          </w:p>
          <w:p>
            <w:pPr>
              <w:pStyle w:val="57"/>
              <w:widowControl w:val="0"/>
              <w:numPr>
                <w:ilvl w:val="0"/>
                <w:numId w:val="11"/>
              </w:numPr>
              <w:spacing w:before="120" w:beforeLines="0" w:after="120" w:afterLines="0" w:line="240" w:lineRule="auto"/>
              <w:ind w:left="0" w:firstLine="0"/>
              <w:jc w:val="left"/>
              <w:rPr>
                <w:rFonts w:ascii="Times New Roman" w:hAnsi="Times New Roman"/>
              </w:rPr>
            </w:pPr>
            <w:r>
              <w:rPr>
                <w:rFonts w:ascii="Times New Roman" w:hAnsi="Times New Roman"/>
              </w:rPr>
              <w:t>Support of PDCCH monitoring adaptation behaviour 1/1A</w:t>
            </w:r>
          </w:p>
          <w:p>
            <w:pPr>
              <w:pStyle w:val="57"/>
              <w:widowControl w:val="0"/>
              <w:numPr>
                <w:ilvl w:val="0"/>
                <w:numId w:val="11"/>
              </w:numPr>
              <w:spacing w:before="120" w:beforeLines="0" w:after="120" w:afterLines="0" w:line="240" w:lineRule="auto"/>
              <w:ind w:left="0" w:firstLine="0"/>
              <w:jc w:val="left"/>
              <w:rPr>
                <w:rFonts w:ascii="Times New Roman" w:hAnsi="Times New Roman"/>
              </w:rPr>
            </w:pPr>
            <w:r>
              <w:rPr>
                <w:rFonts w:ascii="Times New Roman" w:hAnsi="Times New Roman"/>
              </w:rPr>
              <w:t>Support of PDCCH monitoring adaptation behaviour 2/2A/2B</w:t>
            </w:r>
          </w:p>
          <w:p>
            <w:pPr>
              <w:autoSpaceDE w:val="0"/>
              <w:autoSpaceDN w:val="0"/>
              <w:adjustRightInd w:val="0"/>
              <w:snapToGrid w:val="0"/>
              <w:spacing w:before="120" w:after="120"/>
              <w:contextualSpacing/>
              <w:jc w:val="left"/>
              <w:rPr>
                <w:sz w:val="18"/>
              </w:rPr>
            </w:pPr>
            <w:r>
              <w:rPr>
                <w:sz w:val="18"/>
              </w:rPr>
              <w:t>FFS: Support of PDCCH monitoring adaptation behaviour 1/1A/2/2A/2B</w:t>
            </w:r>
          </w:p>
        </w:tc>
        <w:tc>
          <w:tcPr>
            <w:tcW w:w="1418"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992"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Y</w:t>
            </w:r>
          </w:p>
        </w:tc>
        <w:tc>
          <w:tcPr>
            <w:tcW w:w="968"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1417"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 xml:space="preserve">PDCCH monitoring adaptation within an active BWP is not supported </w:t>
            </w:r>
          </w:p>
        </w:tc>
        <w:tc>
          <w:tcPr>
            <w:tcW w:w="127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Per UE</w:t>
            </w:r>
          </w:p>
        </w:tc>
        <w:tc>
          <w:tcPr>
            <w:tcW w:w="992"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993"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989"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N</w:t>
            </w:r>
          </w:p>
        </w:tc>
        <w:tc>
          <w:tcPr>
            <w:tcW w:w="269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127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Optional</w:t>
            </w:r>
          </w:p>
        </w:tc>
      </w:tr>
    </w:tbl>
    <w:p>
      <w:pPr>
        <w:spacing w:before="120" w:after="120"/>
      </w:pPr>
    </w:p>
    <w:p>
      <w:pPr>
        <w:spacing w:beforeLines="0" w:afterLines="0"/>
        <w:jc w:val="left"/>
      </w:pPr>
    </w:p>
    <w:sectPr>
      <w:pgSz w:w="23814" w:h="16840" w:orient="landscape"/>
      <w:pgMar w:top="1378" w:right="1440" w:bottom="1202"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Microsoft YaHei UI">
    <w:panose1 w:val="020B0503020204020204"/>
    <w:charset w:val="86"/>
    <w:family w:val="swiss"/>
    <w:pitch w:val="default"/>
    <w:sig w:usb0="80000287" w:usb1="28C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MS Gothic">
    <w:panose1 w:val="020B06090702050802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swiss"/>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A72FEF"/>
    <w:multiLevelType w:val="multilevel"/>
    <w:tmpl w:val="0BA72FE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4"/>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D2B3EDD"/>
    <w:multiLevelType w:val="multilevel"/>
    <w:tmpl w:val="1D2B3ED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96A01BF"/>
    <w:multiLevelType w:val="multilevel"/>
    <w:tmpl w:val="296A01B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5496F17"/>
    <w:multiLevelType w:val="multilevel"/>
    <w:tmpl w:val="35496F17"/>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9">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10">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4"/>
  </w:num>
  <w:num w:numId="2">
    <w:abstractNumId w:val="0"/>
  </w:num>
  <w:num w:numId="3">
    <w:abstractNumId w:val="2"/>
  </w:num>
  <w:num w:numId="4">
    <w:abstractNumId w:val="10"/>
  </w:num>
  <w:num w:numId="5">
    <w:abstractNumId w:val="1"/>
  </w:num>
  <w:num w:numId="6">
    <w:abstractNumId w:val="9"/>
  </w:num>
  <w:num w:numId="7">
    <w:abstractNumId w:val="8"/>
  </w:num>
  <w:num w:numId="8">
    <w:abstractNumId w:val="6"/>
  </w:num>
  <w:num w:numId="9">
    <w:abstractNumId w:val="3"/>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E89"/>
    <w:rsid w:val="00013735"/>
    <w:rsid w:val="00015154"/>
    <w:rsid w:val="00015BFB"/>
    <w:rsid w:val="00015EDB"/>
    <w:rsid w:val="00026E93"/>
    <w:rsid w:val="0003215A"/>
    <w:rsid w:val="00042E39"/>
    <w:rsid w:val="0004491B"/>
    <w:rsid w:val="00064D22"/>
    <w:rsid w:val="00080105"/>
    <w:rsid w:val="000A0061"/>
    <w:rsid w:val="000A6B3B"/>
    <w:rsid w:val="000B63CC"/>
    <w:rsid w:val="000C74F7"/>
    <w:rsid w:val="000C7C50"/>
    <w:rsid w:val="000D26FB"/>
    <w:rsid w:val="000E501F"/>
    <w:rsid w:val="000F65FF"/>
    <w:rsid w:val="000F72AD"/>
    <w:rsid w:val="001034DA"/>
    <w:rsid w:val="0010617D"/>
    <w:rsid w:val="001163CA"/>
    <w:rsid w:val="001452CB"/>
    <w:rsid w:val="001506E9"/>
    <w:rsid w:val="00166DD7"/>
    <w:rsid w:val="00172A27"/>
    <w:rsid w:val="0019443E"/>
    <w:rsid w:val="001B6A16"/>
    <w:rsid w:val="001C396E"/>
    <w:rsid w:val="001D042C"/>
    <w:rsid w:val="001E68D2"/>
    <w:rsid w:val="001F6FBD"/>
    <w:rsid w:val="00200427"/>
    <w:rsid w:val="002040EC"/>
    <w:rsid w:val="00204BEB"/>
    <w:rsid w:val="00217072"/>
    <w:rsid w:val="002217CD"/>
    <w:rsid w:val="002254E5"/>
    <w:rsid w:val="002517EA"/>
    <w:rsid w:val="00266EB2"/>
    <w:rsid w:val="0026734A"/>
    <w:rsid w:val="00272E7B"/>
    <w:rsid w:val="00291E13"/>
    <w:rsid w:val="00292BDC"/>
    <w:rsid w:val="002A1851"/>
    <w:rsid w:val="002B29E4"/>
    <w:rsid w:val="002B3F85"/>
    <w:rsid w:val="002B4EB7"/>
    <w:rsid w:val="002B532D"/>
    <w:rsid w:val="002F25AA"/>
    <w:rsid w:val="003007B3"/>
    <w:rsid w:val="00300F18"/>
    <w:rsid w:val="003027A7"/>
    <w:rsid w:val="00303048"/>
    <w:rsid w:val="00331B1C"/>
    <w:rsid w:val="00331EF2"/>
    <w:rsid w:val="00334743"/>
    <w:rsid w:val="00354570"/>
    <w:rsid w:val="00367434"/>
    <w:rsid w:val="00367EF9"/>
    <w:rsid w:val="0037064B"/>
    <w:rsid w:val="00370C23"/>
    <w:rsid w:val="00371CBB"/>
    <w:rsid w:val="00375A07"/>
    <w:rsid w:val="003766C6"/>
    <w:rsid w:val="00377BC5"/>
    <w:rsid w:val="00380742"/>
    <w:rsid w:val="00396ADB"/>
    <w:rsid w:val="003A103D"/>
    <w:rsid w:val="003A7E56"/>
    <w:rsid w:val="003B1149"/>
    <w:rsid w:val="003B217C"/>
    <w:rsid w:val="003C31D2"/>
    <w:rsid w:val="003D1DD7"/>
    <w:rsid w:val="003E38AE"/>
    <w:rsid w:val="003E4BBB"/>
    <w:rsid w:val="003F73CB"/>
    <w:rsid w:val="004265D0"/>
    <w:rsid w:val="004326F4"/>
    <w:rsid w:val="00441FB9"/>
    <w:rsid w:val="00452AB6"/>
    <w:rsid w:val="00453986"/>
    <w:rsid w:val="0045623B"/>
    <w:rsid w:val="00461AA7"/>
    <w:rsid w:val="00476112"/>
    <w:rsid w:val="00496216"/>
    <w:rsid w:val="004A5821"/>
    <w:rsid w:val="004C05FA"/>
    <w:rsid w:val="004C1151"/>
    <w:rsid w:val="004C1173"/>
    <w:rsid w:val="004C7FE3"/>
    <w:rsid w:val="004F1990"/>
    <w:rsid w:val="004F342B"/>
    <w:rsid w:val="004F7324"/>
    <w:rsid w:val="00503141"/>
    <w:rsid w:val="00517339"/>
    <w:rsid w:val="005212D2"/>
    <w:rsid w:val="005228C9"/>
    <w:rsid w:val="00522A39"/>
    <w:rsid w:val="005240E5"/>
    <w:rsid w:val="0052589E"/>
    <w:rsid w:val="005420CA"/>
    <w:rsid w:val="005436CE"/>
    <w:rsid w:val="005439D4"/>
    <w:rsid w:val="00546231"/>
    <w:rsid w:val="005463C8"/>
    <w:rsid w:val="005650A3"/>
    <w:rsid w:val="00566FDE"/>
    <w:rsid w:val="0057277B"/>
    <w:rsid w:val="005802EF"/>
    <w:rsid w:val="00583697"/>
    <w:rsid w:val="0058704C"/>
    <w:rsid w:val="00591149"/>
    <w:rsid w:val="00597ADE"/>
    <w:rsid w:val="005A752A"/>
    <w:rsid w:val="005B065E"/>
    <w:rsid w:val="005B0D3F"/>
    <w:rsid w:val="005D14DB"/>
    <w:rsid w:val="005E6D49"/>
    <w:rsid w:val="005F1A12"/>
    <w:rsid w:val="005F3D0F"/>
    <w:rsid w:val="0062153B"/>
    <w:rsid w:val="0062167D"/>
    <w:rsid w:val="00633C6F"/>
    <w:rsid w:val="0063757E"/>
    <w:rsid w:val="006432A2"/>
    <w:rsid w:val="00643612"/>
    <w:rsid w:val="00645E5F"/>
    <w:rsid w:val="00677C91"/>
    <w:rsid w:val="0068648D"/>
    <w:rsid w:val="006970AA"/>
    <w:rsid w:val="006A072C"/>
    <w:rsid w:val="006B10CB"/>
    <w:rsid w:val="006B63E2"/>
    <w:rsid w:val="006C61BF"/>
    <w:rsid w:val="006D3CB8"/>
    <w:rsid w:val="006D42B1"/>
    <w:rsid w:val="006E69D1"/>
    <w:rsid w:val="006F0B4C"/>
    <w:rsid w:val="00711D48"/>
    <w:rsid w:val="00713810"/>
    <w:rsid w:val="00715B8C"/>
    <w:rsid w:val="007166E8"/>
    <w:rsid w:val="0074089D"/>
    <w:rsid w:val="007476DD"/>
    <w:rsid w:val="00781710"/>
    <w:rsid w:val="00795FC2"/>
    <w:rsid w:val="00796ACD"/>
    <w:rsid w:val="007A0C1E"/>
    <w:rsid w:val="007A24B9"/>
    <w:rsid w:val="007A5CFF"/>
    <w:rsid w:val="007B0734"/>
    <w:rsid w:val="007B379C"/>
    <w:rsid w:val="007C2A55"/>
    <w:rsid w:val="007C6A0A"/>
    <w:rsid w:val="007E53B8"/>
    <w:rsid w:val="007F5FF3"/>
    <w:rsid w:val="007F6B9D"/>
    <w:rsid w:val="008026B7"/>
    <w:rsid w:val="008100B9"/>
    <w:rsid w:val="00812554"/>
    <w:rsid w:val="00817DE9"/>
    <w:rsid w:val="00830ED1"/>
    <w:rsid w:val="00832CF6"/>
    <w:rsid w:val="008345EB"/>
    <w:rsid w:val="00834F88"/>
    <w:rsid w:val="00847916"/>
    <w:rsid w:val="00856229"/>
    <w:rsid w:val="00862777"/>
    <w:rsid w:val="008632D8"/>
    <w:rsid w:val="008642E5"/>
    <w:rsid w:val="008650A2"/>
    <w:rsid w:val="008660F3"/>
    <w:rsid w:val="0087435E"/>
    <w:rsid w:val="008776C3"/>
    <w:rsid w:val="00880E89"/>
    <w:rsid w:val="00894AD9"/>
    <w:rsid w:val="008A0205"/>
    <w:rsid w:val="008B7017"/>
    <w:rsid w:val="008B70CE"/>
    <w:rsid w:val="008B7CB0"/>
    <w:rsid w:val="008B7DB1"/>
    <w:rsid w:val="008C1A97"/>
    <w:rsid w:val="008C3050"/>
    <w:rsid w:val="008C329B"/>
    <w:rsid w:val="008C72D3"/>
    <w:rsid w:val="008D1D47"/>
    <w:rsid w:val="008D230F"/>
    <w:rsid w:val="008D38A0"/>
    <w:rsid w:val="008D54B2"/>
    <w:rsid w:val="008E0B96"/>
    <w:rsid w:val="008E587D"/>
    <w:rsid w:val="008E617E"/>
    <w:rsid w:val="008F11DE"/>
    <w:rsid w:val="008F1A9F"/>
    <w:rsid w:val="0090147B"/>
    <w:rsid w:val="009039E7"/>
    <w:rsid w:val="00922F23"/>
    <w:rsid w:val="00924149"/>
    <w:rsid w:val="00930332"/>
    <w:rsid w:val="00931643"/>
    <w:rsid w:val="009339F6"/>
    <w:rsid w:val="00944325"/>
    <w:rsid w:val="00953CDE"/>
    <w:rsid w:val="00955173"/>
    <w:rsid w:val="0096044C"/>
    <w:rsid w:val="00992CAA"/>
    <w:rsid w:val="0099436F"/>
    <w:rsid w:val="009944AA"/>
    <w:rsid w:val="009D1C4D"/>
    <w:rsid w:val="009D1E4F"/>
    <w:rsid w:val="009E3CEF"/>
    <w:rsid w:val="009F6042"/>
    <w:rsid w:val="00A027EF"/>
    <w:rsid w:val="00A02943"/>
    <w:rsid w:val="00A06031"/>
    <w:rsid w:val="00A12F88"/>
    <w:rsid w:val="00A14FF2"/>
    <w:rsid w:val="00A4166A"/>
    <w:rsid w:val="00A46CC4"/>
    <w:rsid w:val="00A57F9E"/>
    <w:rsid w:val="00A6710E"/>
    <w:rsid w:val="00A878AE"/>
    <w:rsid w:val="00A92636"/>
    <w:rsid w:val="00A941B0"/>
    <w:rsid w:val="00A95BB1"/>
    <w:rsid w:val="00A97EA7"/>
    <w:rsid w:val="00AA6E04"/>
    <w:rsid w:val="00AB783D"/>
    <w:rsid w:val="00AD4752"/>
    <w:rsid w:val="00AE5669"/>
    <w:rsid w:val="00AF7C15"/>
    <w:rsid w:val="00B31179"/>
    <w:rsid w:val="00B423EC"/>
    <w:rsid w:val="00B66332"/>
    <w:rsid w:val="00B80549"/>
    <w:rsid w:val="00B81A6F"/>
    <w:rsid w:val="00B9484C"/>
    <w:rsid w:val="00BA715F"/>
    <w:rsid w:val="00BC22AE"/>
    <w:rsid w:val="00BD47B2"/>
    <w:rsid w:val="00BD52A6"/>
    <w:rsid w:val="00BD6309"/>
    <w:rsid w:val="00BE5EFB"/>
    <w:rsid w:val="00BE641D"/>
    <w:rsid w:val="00BF1E7C"/>
    <w:rsid w:val="00BF4B0E"/>
    <w:rsid w:val="00C039ED"/>
    <w:rsid w:val="00C134B6"/>
    <w:rsid w:val="00C137DB"/>
    <w:rsid w:val="00C166BC"/>
    <w:rsid w:val="00C169EE"/>
    <w:rsid w:val="00C239A8"/>
    <w:rsid w:val="00C27740"/>
    <w:rsid w:val="00C37341"/>
    <w:rsid w:val="00C406CC"/>
    <w:rsid w:val="00C637DC"/>
    <w:rsid w:val="00C774C8"/>
    <w:rsid w:val="00CA1DBD"/>
    <w:rsid w:val="00CA3A7A"/>
    <w:rsid w:val="00CA6701"/>
    <w:rsid w:val="00CB2B6E"/>
    <w:rsid w:val="00CB7131"/>
    <w:rsid w:val="00CC4532"/>
    <w:rsid w:val="00CD3761"/>
    <w:rsid w:val="00CE1AD7"/>
    <w:rsid w:val="00D01D40"/>
    <w:rsid w:val="00D20A97"/>
    <w:rsid w:val="00D26B1F"/>
    <w:rsid w:val="00D40D43"/>
    <w:rsid w:val="00D50681"/>
    <w:rsid w:val="00D50800"/>
    <w:rsid w:val="00D5574F"/>
    <w:rsid w:val="00D62C07"/>
    <w:rsid w:val="00D70ECB"/>
    <w:rsid w:val="00D9244A"/>
    <w:rsid w:val="00DA5F51"/>
    <w:rsid w:val="00DB0ACF"/>
    <w:rsid w:val="00DB141F"/>
    <w:rsid w:val="00DB6BD7"/>
    <w:rsid w:val="00DC0F8B"/>
    <w:rsid w:val="00DD2A5E"/>
    <w:rsid w:val="00DD4B55"/>
    <w:rsid w:val="00DD7700"/>
    <w:rsid w:val="00DF41A9"/>
    <w:rsid w:val="00E06B21"/>
    <w:rsid w:val="00E2140B"/>
    <w:rsid w:val="00E31E1F"/>
    <w:rsid w:val="00E40E07"/>
    <w:rsid w:val="00E56DD3"/>
    <w:rsid w:val="00E61B28"/>
    <w:rsid w:val="00E62A3D"/>
    <w:rsid w:val="00E67314"/>
    <w:rsid w:val="00E77887"/>
    <w:rsid w:val="00E85B8C"/>
    <w:rsid w:val="00EA4E8D"/>
    <w:rsid w:val="00EA62E5"/>
    <w:rsid w:val="00EA76D3"/>
    <w:rsid w:val="00EB7C8F"/>
    <w:rsid w:val="00EC0827"/>
    <w:rsid w:val="00EE558D"/>
    <w:rsid w:val="00F01154"/>
    <w:rsid w:val="00F4095D"/>
    <w:rsid w:val="00F40E52"/>
    <w:rsid w:val="00F60223"/>
    <w:rsid w:val="00F73ECD"/>
    <w:rsid w:val="00F765F4"/>
    <w:rsid w:val="00F958CC"/>
    <w:rsid w:val="00F97C0B"/>
    <w:rsid w:val="00FA3BED"/>
    <w:rsid w:val="00FA552B"/>
    <w:rsid w:val="00FA62E6"/>
    <w:rsid w:val="00FB5ABE"/>
    <w:rsid w:val="00FD2DE4"/>
    <w:rsid w:val="00FE01EF"/>
    <w:rsid w:val="00FE4365"/>
    <w:rsid w:val="00FF1E19"/>
    <w:rsid w:val="00FF2B35"/>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F172AC"/>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D01934"/>
    <w:rsid w:val="070C599D"/>
    <w:rsid w:val="07250881"/>
    <w:rsid w:val="072B5A2B"/>
    <w:rsid w:val="07322F8B"/>
    <w:rsid w:val="07587973"/>
    <w:rsid w:val="075E42FF"/>
    <w:rsid w:val="077D0583"/>
    <w:rsid w:val="077E373B"/>
    <w:rsid w:val="079724D0"/>
    <w:rsid w:val="07A3082E"/>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E4947"/>
    <w:rsid w:val="09F67CD5"/>
    <w:rsid w:val="0A7B50B4"/>
    <w:rsid w:val="0A8A3FFF"/>
    <w:rsid w:val="0B3D5147"/>
    <w:rsid w:val="0B6B20A7"/>
    <w:rsid w:val="0B9E71DF"/>
    <w:rsid w:val="0BB427D1"/>
    <w:rsid w:val="0BCD5C26"/>
    <w:rsid w:val="0BF10670"/>
    <w:rsid w:val="0C6F272A"/>
    <w:rsid w:val="0C9036C8"/>
    <w:rsid w:val="0C9D30C2"/>
    <w:rsid w:val="0CA126F2"/>
    <w:rsid w:val="0CEA509E"/>
    <w:rsid w:val="0D2F3891"/>
    <w:rsid w:val="0D426E1A"/>
    <w:rsid w:val="0D9D65F4"/>
    <w:rsid w:val="0DEE7CA5"/>
    <w:rsid w:val="0E172BD0"/>
    <w:rsid w:val="0E347579"/>
    <w:rsid w:val="0E6A1ECE"/>
    <w:rsid w:val="0E8F0168"/>
    <w:rsid w:val="0E9B4F32"/>
    <w:rsid w:val="0EC34966"/>
    <w:rsid w:val="0F0B4FFE"/>
    <w:rsid w:val="0F123F4C"/>
    <w:rsid w:val="0F1E67DB"/>
    <w:rsid w:val="0F9861DB"/>
    <w:rsid w:val="0FA67E91"/>
    <w:rsid w:val="0FD80B60"/>
    <w:rsid w:val="0FDB5B48"/>
    <w:rsid w:val="10860503"/>
    <w:rsid w:val="109076CE"/>
    <w:rsid w:val="10A50104"/>
    <w:rsid w:val="10A85FA8"/>
    <w:rsid w:val="10B658BE"/>
    <w:rsid w:val="10BA5ACA"/>
    <w:rsid w:val="10C92880"/>
    <w:rsid w:val="10FA22E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9D335C"/>
    <w:rsid w:val="13A1683F"/>
    <w:rsid w:val="13C2790D"/>
    <w:rsid w:val="13E5601F"/>
    <w:rsid w:val="141B6583"/>
    <w:rsid w:val="14400B3F"/>
    <w:rsid w:val="1442596B"/>
    <w:rsid w:val="144714E3"/>
    <w:rsid w:val="146A0337"/>
    <w:rsid w:val="14AC00B9"/>
    <w:rsid w:val="14D55B5C"/>
    <w:rsid w:val="14DA3DA1"/>
    <w:rsid w:val="14FC2402"/>
    <w:rsid w:val="1505370E"/>
    <w:rsid w:val="15284EB8"/>
    <w:rsid w:val="155F3495"/>
    <w:rsid w:val="15BB7E2E"/>
    <w:rsid w:val="164B2296"/>
    <w:rsid w:val="17025890"/>
    <w:rsid w:val="17155857"/>
    <w:rsid w:val="173B456E"/>
    <w:rsid w:val="17950508"/>
    <w:rsid w:val="17C72718"/>
    <w:rsid w:val="18537599"/>
    <w:rsid w:val="18551679"/>
    <w:rsid w:val="188D68E8"/>
    <w:rsid w:val="189C69D9"/>
    <w:rsid w:val="18A34D06"/>
    <w:rsid w:val="18A72928"/>
    <w:rsid w:val="18C87C77"/>
    <w:rsid w:val="18F90C9A"/>
    <w:rsid w:val="19010C43"/>
    <w:rsid w:val="19013AC7"/>
    <w:rsid w:val="19084C73"/>
    <w:rsid w:val="194A0457"/>
    <w:rsid w:val="194F6F37"/>
    <w:rsid w:val="196018AD"/>
    <w:rsid w:val="196E5824"/>
    <w:rsid w:val="19713DD4"/>
    <w:rsid w:val="19AF5AFD"/>
    <w:rsid w:val="19BF7943"/>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D420F"/>
    <w:rsid w:val="1EF17B6F"/>
    <w:rsid w:val="1F6170A9"/>
    <w:rsid w:val="1F6200DE"/>
    <w:rsid w:val="1F652C38"/>
    <w:rsid w:val="1F9C5BBE"/>
    <w:rsid w:val="1FE14460"/>
    <w:rsid w:val="20200CA4"/>
    <w:rsid w:val="203063E1"/>
    <w:rsid w:val="204E6676"/>
    <w:rsid w:val="205C6F65"/>
    <w:rsid w:val="205F334B"/>
    <w:rsid w:val="20AA7DFE"/>
    <w:rsid w:val="20CB576A"/>
    <w:rsid w:val="20DC4C14"/>
    <w:rsid w:val="210634E6"/>
    <w:rsid w:val="21241A3D"/>
    <w:rsid w:val="215416B9"/>
    <w:rsid w:val="21822343"/>
    <w:rsid w:val="2194141D"/>
    <w:rsid w:val="2195668B"/>
    <w:rsid w:val="21A2535F"/>
    <w:rsid w:val="21A9601A"/>
    <w:rsid w:val="21AC0BE7"/>
    <w:rsid w:val="21BE044A"/>
    <w:rsid w:val="21BE5AD4"/>
    <w:rsid w:val="21CA2BAC"/>
    <w:rsid w:val="224E2FB0"/>
    <w:rsid w:val="22C84A78"/>
    <w:rsid w:val="23081A49"/>
    <w:rsid w:val="23460B97"/>
    <w:rsid w:val="23A82A04"/>
    <w:rsid w:val="23D11AFC"/>
    <w:rsid w:val="24210188"/>
    <w:rsid w:val="243066C8"/>
    <w:rsid w:val="24582DBC"/>
    <w:rsid w:val="245C52F8"/>
    <w:rsid w:val="2463385E"/>
    <w:rsid w:val="24B3612C"/>
    <w:rsid w:val="24CB3B1A"/>
    <w:rsid w:val="24DC7AA4"/>
    <w:rsid w:val="24EF3B79"/>
    <w:rsid w:val="250D568B"/>
    <w:rsid w:val="25134332"/>
    <w:rsid w:val="25191F5C"/>
    <w:rsid w:val="251E5D80"/>
    <w:rsid w:val="254C3941"/>
    <w:rsid w:val="25572F6C"/>
    <w:rsid w:val="256555F8"/>
    <w:rsid w:val="257E508F"/>
    <w:rsid w:val="25AA2ADA"/>
    <w:rsid w:val="25BF0A19"/>
    <w:rsid w:val="25CA37BB"/>
    <w:rsid w:val="25CB1963"/>
    <w:rsid w:val="25E06614"/>
    <w:rsid w:val="261A61EB"/>
    <w:rsid w:val="267E150F"/>
    <w:rsid w:val="26805650"/>
    <w:rsid w:val="26BF5712"/>
    <w:rsid w:val="26C46931"/>
    <w:rsid w:val="26F173AA"/>
    <w:rsid w:val="26F24A28"/>
    <w:rsid w:val="26F71EC7"/>
    <w:rsid w:val="274120CE"/>
    <w:rsid w:val="276D22A6"/>
    <w:rsid w:val="27805ED2"/>
    <w:rsid w:val="27AB7429"/>
    <w:rsid w:val="27B806C7"/>
    <w:rsid w:val="27F46C2F"/>
    <w:rsid w:val="27F713BD"/>
    <w:rsid w:val="280D0ABD"/>
    <w:rsid w:val="281418B3"/>
    <w:rsid w:val="285C053E"/>
    <w:rsid w:val="28641BC7"/>
    <w:rsid w:val="28706B14"/>
    <w:rsid w:val="28795D57"/>
    <w:rsid w:val="28CB2F20"/>
    <w:rsid w:val="290A7633"/>
    <w:rsid w:val="2945677B"/>
    <w:rsid w:val="296A164B"/>
    <w:rsid w:val="299711A3"/>
    <w:rsid w:val="29FA7F26"/>
    <w:rsid w:val="2A0F0262"/>
    <w:rsid w:val="2A11490E"/>
    <w:rsid w:val="2A24123C"/>
    <w:rsid w:val="2A7903F8"/>
    <w:rsid w:val="2A9E41A6"/>
    <w:rsid w:val="2AD176E8"/>
    <w:rsid w:val="2ADC074E"/>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644464"/>
    <w:rsid w:val="2DAA1531"/>
    <w:rsid w:val="2DD31482"/>
    <w:rsid w:val="2DED4837"/>
    <w:rsid w:val="2DF81D7C"/>
    <w:rsid w:val="2DFC12C6"/>
    <w:rsid w:val="2E592BD6"/>
    <w:rsid w:val="2E9F709C"/>
    <w:rsid w:val="2ED53BA8"/>
    <w:rsid w:val="2EED0A13"/>
    <w:rsid w:val="2F031089"/>
    <w:rsid w:val="2F1251F2"/>
    <w:rsid w:val="2F65609A"/>
    <w:rsid w:val="2FBD09F9"/>
    <w:rsid w:val="30660B82"/>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0B4CF3"/>
    <w:rsid w:val="3214373A"/>
    <w:rsid w:val="32586AD3"/>
    <w:rsid w:val="327F30CF"/>
    <w:rsid w:val="329A6ACE"/>
    <w:rsid w:val="32AB75FA"/>
    <w:rsid w:val="32C64BD3"/>
    <w:rsid w:val="334F3544"/>
    <w:rsid w:val="33834A37"/>
    <w:rsid w:val="33A253D1"/>
    <w:rsid w:val="33FF73F9"/>
    <w:rsid w:val="34371266"/>
    <w:rsid w:val="345B1306"/>
    <w:rsid w:val="34797F6E"/>
    <w:rsid w:val="348D3D32"/>
    <w:rsid w:val="34C215EF"/>
    <w:rsid w:val="34CB6483"/>
    <w:rsid w:val="34EC39C4"/>
    <w:rsid w:val="35191B59"/>
    <w:rsid w:val="35997ED3"/>
    <w:rsid w:val="35B0594E"/>
    <w:rsid w:val="35C47CF3"/>
    <w:rsid w:val="35D5780F"/>
    <w:rsid w:val="360673D5"/>
    <w:rsid w:val="360B1D73"/>
    <w:rsid w:val="360B7EE7"/>
    <w:rsid w:val="36157D72"/>
    <w:rsid w:val="361F3323"/>
    <w:rsid w:val="364A298F"/>
    <w:rsid w:val="364A7B2B"/>
    <w:rsid w:val="3659312E"/>
    <w:rsid w:val="3681117A"/>
    <w:rsid w:val="36E93760"/>
    <w:rsid w:val="3784394E"/>
    <w:rsid w:val="379B41C4"/>
    <w:rsid w:val="37A62041"/>
    <w:rsid w:val="37F25734"/>
    <w:rsid w:val="380A0B96"/>
    <w:rsid w:val="38337F5B"/>
    <w:rsid w:val="385135F5"/>
    <w:rsid w:val="385F665C"/>
    <w:rsid w:val="388E6551"/>
    <w:rsid w:val="38AE3BB0"/>
    <w:rsid w:val="38DC5505"/>
    <w:rsid w:val="391F7D60"/>
    <w:rsid w:val="392E58B6"/>
    <w:rsid w:val="39496AE3"/>
    <w:rsid w:val="3985660B"/>
    <w:rsid w:val="39BB13DA"/>
    <w:rsid w:val="39DB06B3"/>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E19C9"/>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9752E1"/>
    <w:rsid w:val="41A14CA0"/>
    <w:rsid w:val="41BC286E"/>
    <w:rsid w:val="41C577BA"/>
    <w:rsid w:val="41D3631F"/>
    <w:rsid w:val="41F46181"/>
    <w:rsid w:val="41F466FD"/>
    <w:rsid w:val="422B0BD2"/>
    <w:rsid w:val="427E2C9C"/>
    <w:rsid w:val="428434A1"/>
    <w:rsid w:val="42A67A24"/>
    <w:rsid w:val="42B84DF7"/>
    <w:rsid w:val="42D846B9"/>
    <w:rsid w:val="43015D68"/>
    <w:rsid w:val="432B156A"/>
    <w:rsid w:val="433817F8"/>
    <w:rsid w:val="43625625"/>
    <w:rsid w:val="43B97E64"/>
    <w:rsid w:val="43D54F80"/>
    <w:rsid w:val="440D5045"/>
    <w:rsid w:val="4466378D"/>
    <w:rsid w:val="44F5724A"/>
    <w:rsid w:val="4555581D"/>
    <w:rsid w:val="457602B0"/>
    <w:rsid w:val="457D7419"/>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D321B5"/>
    <w:rsid w:val="48DC6BCF"/>
    <w:rsid w:val="4966417F"/>
    <w:rsid w:val="49701211"/>
    <w:rsid w:val="49E9233D"/>
    <w:rsid w:val="4A190059"/>
    <w:rsid w:val="4A2324A9"/>
    <w:rsid w:val="4A2C54FD"/>
    <w:rsid w:val="4A3703C6"/>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F32FFF"/>
    <w:rsid w:val="4F232A9C"/>
    <w:rsid w:val="4F2765B1"/>
    <w:rsid w:val="4F285975"/>
    <w:rsid w:val="4F5E2A8B"/>
    <w:rsid w:val="4F8E43A5"/>
    <w:rsid w:val="4F952B74"/>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3223A7"/>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FD51DB"/>
    <w:rsid w:val="5E0D36E5"/>
    <w:rsid w:val="5E7510E4"/>
    <w:rsid w:val="5EBD3AB4"/>
    <w:rsid w:val="5ED711BC"/>
    <w:rsid w:val="5F0A3BA8"/>
    <w:rsid w:val="5F1A5A71"/>
    <w:rsid w:val="5F3D3A73"/>
    <w:rsid w:val="5F434754"/>
    <w:rsid w:val="5F9E6C40"/>
    <w:rsid w:val="5FE87018"/>
    <w:rsid w:val="602765D8"/>
    <w:rsid w:val="602F201A"/>
    <w:rsid w:val="605F1B37"/>
    <w:rsid w:val="607C3753"/>
    <w:rsid w:val="609578A8"/>
    <w:rsid w:val="60C30855"/>
    <w:rsid w:val="60CC7FFA"/>
    <w:rsid w:val="610B17E6"/>
    <w:rsid w:val="61421EFD"/>
    <w:rsid w:val="615C2588"/>
    <w:rsid w:val="615C5041"/>
    <w:rsid w:val="61D705BD"/>
    <w:rsid w:val="61DD59E8"/>
    <w:rsid w:val="61E56B7B"/>
    <w:rsid w:val="622F56E3"/>
    <w:rsid w:val="62420984"/>
    <w:rsid w:val="626C4E5F"/>
    <w:rsid w:val="6271154E"/>
    <w:rsid w:val="627D0863"/>
    <w:rsid w:val="62A93DF4"/>
    <w:rsid w:val="62B70B91"/>
    <w:rsid w:val="63206216"/>
    <w:rsid w:val="634B3A82"/>
    <w:rsid w:val="63523344"/>
    <w:rsid w:val="63560707"/>
    <w:rsid w:val="6357067F"/>
    <w:rsid w:val="63D03DEE"/>
    <w:rsid w:val="63DD6E9C"/>
    <w:rsid w:val="641A2384"/>
    <w:rsid w:val="642167EE"/>
    <w:rsid w:val="64CB6601"/>
    <w:rsid w:val="64EF3666"/>
    <w:rsid w:val="64FC1880"/>
    <w:rsid w:val="65094EFF"/>
    <w:rsid w:val="651B3798"/>
    <w:rsid w:val="65370CD5"/>
    <w:rsid w:val="65847BBF"/>
    <w:rsid w:val="65B57404"/>
    <w:rsid w:val="65B93A8D"/>
    <w:rsid w:val="65CA1E2C"/>
    <w:rsid w:val="65D975AE"/>
    <w:rsid w:val="661746DD"/>
    <w:rsid w:val="664805B8"/>
    <w:rsid w:val="665E34DC"/>
    <w:rsid w:val="66C053F3"/>
    <w:rsid w:val="66CD03F2"/>
    <w:rsid w:val="66D221EE"/>
    <w:rsid w:val="66DA55D7"/>
    <w:rsid w:val="66F82180"/>
    <w:rsid w:val="670F41E0"/>
    <w:rsid w:val="677D25E8"/>
    <w:rsid w:val="678A787F"/>
    <w:rsid w:val="67AD6B3A"/>
    <w:rsid w:val="67BD0300"/>
    <w:rsid w:val="67D325C4"/>
    <w:rsid w:val="68031C5B"/>
    <w:rsid w:val="682616B3"/>
    <w:rsid w:val="682A4EAB"/>
    <w:rsid w:val="68316174"/>
    <w:rsid w:val="684D34F9"/>
    <w:rsid w:val="68F533A3"/>
    <w:rsid w:val="690453B7"/>
    <w:rsid w:val="690B53E9"/>
    <w:rsid w:val="690F418B"/>
    <w:rsid w:val="699323D6"/>
    <w:rsid w:val="69B32313"/>
    <w:rsid w:val="6A007B68"/>
    <w:rsid w:val="6A0409C8"/>
    <w:rsid w:val="6A700D2B"/>
    <w:rsid w:val="6A741183"/>
    <w:rsid w:val="6A7A2736"/>
    <w:rsid w:val="6A7B4B9C"/>
    <w:rsid w:val="6AA651A8"/>
    <w:rsid w:val="6AEB121D"/>
    <w:rsid w:val="6AFB78C4"/>
    <w:rsid w:val="6B004CFA"/>
    <w:rsid w:val="6B120A68"/>
    <w:rsid w:val="6B586E1F"/>
    <w:rsid w:val="6BAF5652"/>
    <w:rsid w:val="6C6F4FDA"/>
    <w:rsid w:val="6C89456C"/>
    <w:rsid w:val="6CA35C83"/>
    <w:rsid w:val="6CA52710"/>
    <w:rsid w:val="6CAC58B4"/>
    <w:rsid w:val="6D4A2539"/>
    <w:rsid w:val="6D572C9F"/>
    <w:rsid w:val="6D97094D"/>
    <w:rsid w:val="6DAE632B"/>
    <w:rsid w:val="6DF009F6"/>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BF03A5"/>
    <w:rsid w:val="73D425F7"/>
    <w:rsid w:val="73D6575A"/>
    <w:rsid w:val="73E636C1"/>
    <w:rsid w:val="74600E53"/>
    <w:rsid w:val="746A0CB1"/>
    <w:rsid w:val="74712AFB"/>
    <w:rsid w:val="74994192"/>
    <w:rsid w:val="74A31B48"/>
    <w:rsid w:val="74AD4F44"/>
    <w:rsid w:val="74BC1C78"/>
    <w:rsid w:val="750A2023"/>
    <w:rsid w:val="75171C24"/>
    <w:rsid w:val="75486E94"/>
    <w:rsid w:val="758D04C2"/>
    <w:rsid w:val="75AD0CCB"/>
    <w:rsid w:val="75E4396D"/>
    <w:rsid w:val="75F020A1"/>
    <w:rsid w:val="7615032B"/>
    <w:rsid w:val="76655349"/>
    <w:rsid w:val="7676736A"/>
    <w:rsid w:val="768F29EE"/>
    <w:rsid w:val="76926203"/>
    <w:rsid w:val="76933951"/>
    <w:rsid w:val="771D661B"/>
    <w:rsid w:val="771F7714"/>
    <w:rsid w:val="77207795"/>
    <w:rsid w:val="773903BD"/>
    <w:rsid w:val="773F662A"/>
    <w:rsid w:val="77617342"/>
    <w:rsid w:val="77890DAA"/>
    <w:rsid w:val="77D835AD"/>
    <w:rsid w:val="77EE2F48"/>
    <w:rsid w:val="77F10205"/>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3208B"/>
    <w:rsid w:val="7DB5193A"/>
    <w:rsid w:val="7DB54254"/>
    <w:rsid w:val="7E181D7D"/>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character" w:default="1" w:styleId="19">
    <w:name w:val="Default Paragraph Font"/>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40"/>
    <w:semiHidden/>
    <w:qFormat/>
    <w:uiPriority w:val="0"/>
  </w:style>
  <w:style w:type="paragraph" w:styleId="6">
    <w:name w:val="Body Text"/>
    <w:basedOn w:val="1"/>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9"/>
    <w:semiHidden/>
    <w:unhideWhenUsed/>
    <w:qFormat/>
    <w:uiPriority w:val="99"/>
    <w:pPr>
      <w:spacing w:before="0" w:after="0" w:line="240" w:lineRule="auto"/>
    </w:pPr>
    <w:rPr>
      <w:rFonts w:ascii="Microsoft YaHei UI" w:eastAsia="Microsoft YaHei UI"/>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42"/>
    <w:semiHidden/>
    <w:qFormat/>
    <w:uiPriority w:val="0"/>
    <w:pPr>
      <w:tabs>
        <w:tab w:val="center" w:pos="4680"/>
        <w:tab w:val="right" w:pos="9360"/>
      </w:tabs>
      <w:spacing w:before="0" w:after="0" w:line="240" w:lineRule="auto"/>
    </w:pPr>
  </w:style>
  <w:style w:type="paragraph" w:styleId="11">
    <w:name w:val="toc 1"/>
    <w:basedOn w:val="1"/>
    <w:next w:val="1"/>
    <w:unhideWhenUsed/>
    <w:qFormat/>
    <w:uiPriority w:val="39"/>
    <w:pPr>
      <w:tabs>
        <w:tab w:val="decimal" w:pos="0"/>
        <w:tab w:val="left" w:pos="1282"/>
        <w:tab w:val="right" w:pos="9660"/>
      </w:tabs>
      <w:spacing w:before="120" w:after="120"/>
      <w:ind w:right="420" w:rightChars="200"/>
      <w:jc w:val="left"/>
    </w:pPr>
    <w:rPr>
      <w:rFonts w:eastAsiaTheme="minorEastAsia"/>
      <w:b/>
      <w:bCs/>
      <w:sz w:val="20"/>
    </w:rPr>
  </w:style>
  <w:style w:type="paragraph" w:styleId="12">
    <w:name w:val="List"/>
    <w:basedOn w:val="1"/>
    <w:qFormat/>
    <w:uiPriority w:val="0"/>
    <w:pPr>
      <w:ind w:left="568" w:hanging="284"/>
    </w:p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5">
    <w:name w:val="Normal (Web)"/>
    <w:basedOn w:val="1"/>
    <w:unhideWhenUsed/>
    <w:qFormat/>
    <w:uiPriority w:val="99"/>
    <w:pPr>
      <w:spacing w:after="0"/>
      <w:jc w:val="left"/>
    </w:pPr>
    <w:rPr>
      <w:rFonts w:ascii="宋体" w:hAnsi="宋体" w:cs="宋体"/>
      <w:sz w:val="24"/>
      <w:szCs w:val="24"/>
    </w:rPr>
  </w:style>
  <w:style w:type="paragraph" w:styleId="16">
    <w:name w:val="annotation subject"/>
    <w:basedOn w:val="5"/>
    <w:next w:val="5"/>
    <w:link w:val="41"/>
    <w:semiHidden/>
    <w:unhideWhenUsed/>
    <w:qFormat/>
    <w:uiPriority w:val="99"/>
    <w:pPr>
      <w:spacing w:line="240" w:lineRule="auto"/>
    </w:pPr>
    <w:rPr>
      <w:b/>
      <w:bCs/>
      <w:sz w:val="20"/>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99"/>
    <w:rPr>
      <w:b/>
      <w:sz w:val="20"/>
      <w:szCs w:val="20"/>
      <w:shd w:val="clear" w:color="auto" w:fill="00A65A"/>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shd w:val="clear" w:color="auto" w:fill="FFFFFF"/>
    </w:rPr>
  </w:style>
  <w:style w:type="character" w:styleId="23">
    <w:name w:val="Hyperlink"/>
    <w:basedOn w:val="19"/>
    <w:unhideWhenUsed/>
    <w:qFormat/>
    <w:uiPriority w:val="99"/>
    <w:rPr>
      <w:color w:val="409EFF"/>
      <w:u w:val="none"/>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16"/>
      <w:szCs w:val="16"/>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paragraph" w:customStyle="1" w:styleId="28">
    <w:name w:val="YJ-Observation"/>
    <w:basedOn w:val="29"/>
    <w:qFormat/>
    <w:uiPriority w:val="0"/>
    <w:pPr>
      <w:numPr>
        <w:ilvl w:val="0"/>
        <w:numId w:val="2"/>
      </w:numPr>
      <w:tabs>
        <w:tab w:val="left" w:pos="420"/>
      </w:tabs>
    </w:pPr>
  </w:style>
  <w:style w:type="paragraph" w:customStyle="1" w:styleId="29">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apple-converted-space"/>
    <w:basedOn w:val="19"/>
    <w:qFormat/>
    <w:uiPriority w:val="0"/>
  </w:style>
  <w:style w:type="character" w:customStyle="1" w:styleId="39">
    <w:name w:val="批注框文本 Char"/>
    <w:basedOn w:val="19"/>
    <w:link w:val="8"/>
    <w:semiHidden/>
    <w:qFormat/>
    <w:uiPriority w:val="99"/>
    <w:rPr>
      <w:rFonts w:ascii="Microsoft YaHei UI" w:eastAsia="Microsoft YaHei UI"/>
      <w:kern w:val="2"/>
      <w:sz w:val="18"/>
      <w:szCs w:val="18"/>
    </w:rPr>
  </w:style>
  <w:style w:type="character" w:customStyle="1" w:styleId="40">
    <w:name w:val="批注文字 Char"/>
    <w:basedOn w:val="19"/>
    <w:link w:val="5"/>
    <w:semiHidden/>
    <w:qFormat/>
    <w:uiPriority w:val="0"/>
    <w:rPr>
      <w:kern w:val="2"/>
      <w:sz w:val="21"/>
    </w:rPr>
  </w:style>
  <w:style w:type="character" w:customStyle="1" w:styleId="41">
    <w:name w:val="批注主题 Char"/>
    <w:basedOn w:val="40"/>
    <w:link w:val="16"/>
    <w:semiHidden/>
    <w:qFormat/>
    <w:uiPriority w:val="99"/>
    <w:rPr>
      <w:b/>
      <w:bCs/>
      <w:kern w:val="2"/>
      <w:sz w:val="21"/>
    </w:rPr>
  </w:style>
  <w:style w:type="character" w:customStyle="1" w:styleId="42">
    <w:name w:val="页眉 Char"/>
    <w:basedOn w:val="19"/>
    <w:link w:val="10"/>
    <w:semiHidden/>
    <w:qFormat/>
    <w:uiPriority w:val="0"/>
    <w:rPr>
      <w:kern w:val="2"/>
      <w:sz w:val="21"/>
    </w:rPr>
  </w:style>
  <w:style w:type="character" w:customStyle="1" w:styleId="43">
    <w:name w:val="badge58"/>
    <w:basedOn w:val="19"/>
    <w:qFormat/>
    <w:uiPriority w:val="0"/>
    <w:rPr>
      <w:b/>
      <w:color w:val="FFFFFF"/>
      <w:sz w:val="24"/>
      <w:szCs w:val="24"/>
      <w:shd w:val="clear" w:color="auto" w:fill="001F3F"/>
    </w:rPr>
  </w:style>
  <w:style w:type="character" w:customStyle="1" w:styleId="44">
    <w:name w:val="hover16"/>
    <w:basedOn w:val="19"/>
    <w:qFormat/>
    <w:uiPriority w:val="0"/>
    <w:rPr>
      <w:shd w:val="clear" w:color="auto" w:fill="EEEEEE"/>
    </w:rPr>
  </w:style>
  <w:style w:type="character" w:customStyle="1" w:styleId="45">
    <w:name w:val="active3"/>
    <w:basedOn w:val="19"/>
    <w:qFormat/>
    <w:uiPriority w:val="0"/>
    <w:rPr>
      <w:color w:val="FFFFFF"/>
      <w:shd w:val="clear" w:color="auto" w:fill="006DCC"/>
    </w:rPr>
  </w:style>
  <w:style w:type="character" w:customStyle="1" w:styleId="46">
    <w:name w:val="old"/>
    <w:basedOn w:val="19"/>
    <w:qFormat/>
    <w:uiPriority w:val="0"/>
    <w:rPr>
      <w:color w:val="999999"/>
    </w:rPr>
  </w:style>
  <w:style w:type="character" w:customStyle="1" w:styleId="47">
    <w:name w:val="via1"/>
    <w:basedOn w:val="19"/>
    <w:qFormat/>
    <w:uiPriority w:val="0"/>
    <w:rPr>
      <w:color w:val="959595"/>
    </w:rPr>
  </w:style>
  <w:style w:type="character" w:customStyle="1" w:styleId="48">
    <w:name w:val="keyword1"/>
    <w:basedOn w:val="19"/>
    <w:qFormat/>
    <w:uiPriority w:val="0"/>
  </w:style>
  <w:style w:type="character" w:customStyle="1" w:styleId="49">
    <w:name w:val="badge57"/>
    <w:basedOn w:val="19"/>
    <w:qFormat/>
    <w:uiPriority w:val="0"/>
    <w:rPr>
      <w:b/>
      <w:color w:val="FFFFFF"/>
      <w:sz w:val="24"/>
      <w:szCs w:val="24"/>
      <w:shd w:val="clear" w:color="auto" w:fill="001F3F"/>
    </w:rPr>
  </w:style>
  <w:style w:type="character" w:customStyle="1" w:styleId="50">
    <w:name w:val="active1"/>
    <w:basedOn w:val="19"/>
    <w:qFormat/>
    <w:uiPriority w:val="0"/>
    <w:rPr>
      <w:color w:val="FFFFFF"/>
      <w:shd w:val="clear" w:color="auto" w:fill="006DCC"/>
    </w:rPr>
  </w:style>
  <w:style w:type="character" w:customStyle="1" w:styleId="51">
    <w:name w:val="badge56"/>
    <w:basedOn w:val="19"/>
    <w:qFormat/>
    <w:uiPriority w:val="0"/>
    <w:rPr>
      <w:b/>
      <w:color w:val="FFFFFF"/>
      <w:sz w:val="24"/>
      <w:szCs w:val="24"/>
      <w:shd w:val="clear" w:color="auto" w:fill="001F3F"/>
    </w:rPr>
  </w:style>
  <w:style w:type="character" w:customStyle="1" w:styleId="52">
    <w:name w:val="hover14"/>
    <w:basedOn w:val="19"/>
    <w:qFormat/>
    <w:uiPriority w:val="0"/>
    <w:rPr>
      <w:shd w:val="clear" w:color="auto" w:fill="EEEEEE"/>
    </w:rPr>
  </w:style>
  <w:style w:type="paragraph" w:customStyle="1" w:styleId="53">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4">
    <w:name w:val="hover15"/>
    <w:basedOn w:val="19"/>
    <w:qFormat/>
    <w:uiPriority w:val="0"/>
    <w:rPr>
      <w:shd w:val="clear" w:color="auto" w:fill="EEEEEE"/>
    </w:rPr>
  </w:style>
  <w:style w:type="paragraph" w:customStyle="1" w:styleId="5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6">
    <w:name w:val="hover"/>
    <w:basedOn w:val="19"/>
    <w:qFormat/>
    <w:uiPriority w:val="0"/>
    <w:rPr>
      <w:shd w:val="clear" w:color="auto" w:fill="EEEEEE"/>
    </w:rPr>
  </w:style>
  <w:style w:type="paragraph" w:customStyle="1" w:styleId="57">
    <w:name w:val="TAL"/>
    <w:basedOn w:val="1"/>
    <w:qFormat/>
    <w:uiPriority w:val="0"/>
    <w:pPr>
      <w:keepNext/>
      <w:keepLines/>
      <w:spacing w:after="0"/>
    </w:pPr>
    <w:rPr>
      <w:rFonts w:ascii="Arial" w:hAnsi="Arial"/>
      <w:sz w:val="18"/>
    </w:rPr>
  </w:style>
  <w:style w:type="character" w:customStyle="1" w:styleId="58">
    <w:name w:val="badge55"/>
    <w:basedOn w:val="19"/>
    <w:qFormat/>
    <w:uiPriority w:val="0"/>
    <w:rPr>
      <w:b/>
      <w:color w:val="FFFFFF"/>
      <w:sz w:val="24"/>
      <w:szCs w:val="24"/>
      <w:shd w:val="clear" w:color="auto" w:fill="001F3F"/>
    </w:rPr>
  </w:style>
  <w:style w:type="character" w:customStyle="1" w:styleId="59">
    <w:name w:val="active"/>
    <w:basedOn w:val="19"/>
    <w:qFormat/>
    <w:uiPriority w:val="0"/>
    <w:rPr>
      <w:color w:val="FFFFFF"/>
      <w:shd w:val="clear" w:color="auto" w:fill="006DCC"/>
    </w:rPr>
  </w:style>
  <w:style w:type="character" w:customStyle="1" w:styleId="60">
    <w:name w:val="badge"/>
    <w:basedOn w:val="19"/>
    <w:qFormat/>
    <w:uiPriority w:val="0"/>
    <w:rPr>
      <w:b/>
      <w:color w:val="FFFFFF"/>
      <w:sz w:val="24"/>
      <w:szCs w:val="24"/>
      <w:shd w:val="clear" w:color="auto" w:fill="001F3F"/>
    </w:rPr>
  </w:style>
  <w:style w:type="paragraph" w:customStyle="1" w:styleId="61">
    <w:name w:val="B1"/>
    <w:basedOn w:val="12"/>
    <w:qFormat/>
    <w:uiPriority w:val="0"/>
  </w:style>
  <w:style w:type="paragraph" w:customStyle="1" w:styleId="62">
    <w:name w:val="List Paragraph1"/>
    <w:basedOn w:val="1"/>
    <w:uiPriority w:val="0"/>
    <w:pPr>
      <w:spacing w:before="100" w:beforeLines="0" w:beforeAutospacing="1" w:after="100" w:afterLines="0" w:afterAutospacing="1" w:line="240" w:lineRule="auto"/>
      <w:ind w:left="840" w:leftChars="400"/>
      <w:jc w:val="left"/>
    </w:pPr>
    <w:rPr>
      <w:rFonts w:eastAsia="MS Gothic"/>
      <w:kern w:val="0"/>
      <w:sz w:val="24"/>
      <w:szCs w:val="24"/>
    </w:rPr>
  </w:style>
  <w:style w:type="paragraph" w:customStyle="1" w:styleId="63">
    <w:name w:val="TAH"/>
    <w:basedOn w:val="1"/>
    <w:uiPriority w:val="0"/>
    <w:pPr>
      <w:keepNext/>
      <w:keepLines/>
      <w:widowControl w:val="0"/>
      <w:overflowPunct w:val="0"/>
      <w:autoSpaceDE w:val="0"/>
      <w:autoSpaceDN w:val="0"/>
      <w:adjustRightInd w:val="0"/>
      <w:spacing w:before="0" w:beforeLines="0" w:after="0" w:afterLines="0" w:line="240" w:lineRule="auto"/>
      <w:jc w:val="center"/>
      <w:textAlignment w:val="baseline"/>
    </w:pPr>
    <w:rPr>
      <w:rFonts w:ascii="Arial" w:hAnsi="Arial" w:eastAsia="Times New Roman"/>
      <w:b/>
      <w:bCs/>
      <w:kern w:val="0"/>
      <w:sz w:val="18"/>
      <w:szCs w:val="18"/>
    </w:rPr>
  </w:style>
  <w:style w:type="paragraph" w:customStyle="1" w:styleId="64">
    <w:name w:val="TAN"/>
    <w:basedOn w:val="57"/>
    <w:uiPriority w:val="0"/>
    <w:pPr>
      <w:widowControl w:val="0"/>
      <w:spacing w:before="100" w:beforeLines="0" w:beforeAutospacing="1" w:after="100" w:afterLines="0" w:afterAutospacing="1" w:line="240" w:lineRule="auto"/>
      <w:ind w:left="851" w:hanging="851"/>
      <w:jc w:val="left"/>
    </w:pPr>
    <w:rPr>
      <w:kern w:val="0"/>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06772-7B02-41F2-AD55-0FC3D66C23A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744</Words>
  <Characters>4242</Characters>
  <Lines>35</Lines>
  <Paragraphs>9</Paragraphs>
  <TotalTime>22</TotalTime>
  <ScaleCrop>false</ScaleCrop>
  <LinksUpToDate>false</LinksUpToDate>
  <CharactersWithSpaces>4977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cp:lastModifiedBy>
  <dcterms:modified xsi:type="dcterms:W3CDTF">2021-09-30T03:19:17Z</dcterms:modified>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